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787A5" w14:textId="7F3ECD6C" w:rsidR="00537239" w:rsidRPr="00B152B5" w:rsidRDefault="001A4C85" w:rsidP="551DBBB0">
      <w:pPr>
        <w:rPr>
          <w:b/>
          <w:bCs/>
          <w:sz w:val="22"/>
          <w:szCs w:val="22"/>
        </w:rPr>
      </w:pPr>
      <w:r>
        <w:rPr>
          <w:b/>
          <w:bCs/>
          <w:sz w:val="22"/>
          <w:szCs w:val="22"/>
        </w:rPr>
        <w:t>INCLUSIVE EARLY YEARS</w:t>
      </w:r>
      <w:r w:rsidR="00944816" w:rsidRPr="00B152B5">
        <w:rPr>
          <w:b/>
          <w:bCs/>
          <w:sz w:val="22"/>
          <w:szCs w:val="22"/>
        </w:rPr>
        <w:t xml:space="preserve"> FUND 26-27</w:t>
      </w:r>
      <w:r w:rsidR="009B268A">
        <w:rPr>
          <w:b/>
          <w:bCs/>
          <w:sz w:val="22"/>
          <w:szCs w:val="22"/>
        </w:rPr>
        <w:tab/>
      </w:r>
      <w:r w:rsidR="009B268A">
        <w:rPr>
          <w:b/>
          <w:bCs/>
          <w:sz w:val="22"/>
          <w:szCs w:val="22"/>
        </w:rPr>
        <w:tab/>
      </w:r>
      <w:r w:rsidR="009B268A">
        <w:rPr>
          <w:b/>
          <w:bCs/>
          <w:sz w:val="22"/>
          <w:szCs w:val="22"/>
        </w:rPr>
        <w:tab/>
      </w:r>
      <w:r w:rsidR="005B41A3">
        <w:rPr>
          <w:b/>
          <w:bCs/>
          <w:sz w:val="22"/>
          <w:szCs w:val="22"/>
        </w:rPr>
        <w:tab/>
      </w:r>
      <w:r w:rsidR="005B41A3">
        <w:rPr>
          <w:b/>
          <w:bCs/>
          <w:sz w:val="22"/>
          <w:szCs w:val="22"/>
        </w:rPr>
        <w:tab/>
      </w:r>
      <w:r w:rsidR="005B41A3">
        <w:rPr>
          <w:b/>
          <w:bCs/>
          <w:sz w:val="22"/>
          <w:szCs w:val="22"/>
        </w:rPr>
        <w:tab/>
      </w:r>
      <w:r w:rsidR="009B268A">
        <w:rPr>
          <w:b/>
          <w:bCs/>
          <w:sz w:val="22"/>
          <w:szCs w:val="22"/>
        </w:rPr>
        <w:t>May 2026</w:t>
      </w:r>
    </w:p>
    <w:p w14:paraId="4AF51FE7" w14:textId="3145937A" w:rsidR="65E3C40C" w:rsidRPr="00B152B5" w:rsidRDefault="65E3C40C" w:rsidP="551DBBB0">
      <w:pPr>
        <w:rPr>
          <w:b/>
          <w:bCs/>
          <w:sz w:val="22"/>
          <w:szCs w:val="22"/>
          <w:u w:val="single"/>
        </w:rPr>
      </w:pPr>
      <w:r w:rsidRPr="00B152B5">
        <w:rPr>
          <w:b/>
          <w:bCs/>
          <w:sz w:val="22"/>
          <w:szCs w:val="22"/>
          <w:u w:val="single"/>
        </w:rPr>
        <w:t>Background</w:t>
      </w:r>
    </w:p>
    <w:p w14:paraId="56094146" w14:textId="0E7C0EEE" w:rsidR="00E26E68" w:rsidRPr="00B152B5" w:rsidRDefault="00E26E68" w:rsidP="00733A7D">
      <w:pPr>
        <w:shd w:val="clear" w:color="auto" w:fill="FFFFFF" w:themeFill="background1"/>
        <w:spacing w:after="300"/>
        <w:rPr>
          <w:b/>
          <w:bCs/>
          <w:sz w:val="22"/>
          <w:szCs w:val="22"/>
          <w:u w:val="single"/>
        </w:rPr>
      </w:pPr>
      <w:r w:rsidRPr="00B152B5">
        <w:rPr>
          <w:rFonts w:ascii="Arial" w:eastAsia="Arial" w:hAnsi="Arial" w:cs="Arial"/>
          <w:color w:val="0B0C0C"/>
          <w:sz w:val="22"/>
          <w:szCs w:val="22"/>
        </w:rPr>
        <w:t xml:space="preserve">The Inclusive Early Years Fund (IEYF) complements existing funding such as special educational needs inclusion fund (SENIF), disability access funding (DAF), and high needs funding, while signalling the direction of future reform to create a simpler, more consistent approach to supporting inclusion across all early </w:t>
      </w:r>
      <w:r w:rsidR="00AE0BBC" w:rsidRPr="00B152B5">
        <w:rPr>
          <w:rFonts w:ascii="Arial" w:eastAsia="Arial" w:hAnsi="Arial" w:cs="Arial"/>
          <w:color w:val="0B0C0C"/>
          <w:sz w:val="22"/>
          <w:szCs w:val="22"/>
        </w:rPr>
        <w:t>years</w:t>
      </w:r>
      <w:r w:rsidRPr="00B152B5">
        <w:rPr>
          <w:rFonts w:ascii="Arial" w:eastAsia="Arial" w:hAnsi="Arial" w:cs="Arial"/>
          <w:color w:val="0B0C0C"/>
          <w:sz w:val="22"/>
          <w:szCs w:val="22"/>
        </w:rPr>
        <w:t xml:space="preserve"> providers.</w:t>
      </w:r>
    </w:p>
    <w:p w14:paraId="6EB587E0" w14:textId="208D39EC" w:rsidR="524AA3CE" w:rsidRPr="00B152B5" w:rsidRDefault="00521CAD" w:rsidP="551DBBB0">
      <w:pPr>
        <w:shd w:val="clear" w:color="auto" w:fill="FFFFFF" w:themeFill="background1"/>
        <w:spacing w:after="300"/>
        <w:rPr>
          <w:rFonts w:ascii="Arial" w:eastAsia="Arial" w:hAnsi="Arial" w:cs="Arial"/>
          <w:color w:val="0B0C0C"/>
          <w:sz w:val="22"/>
          <w:szCs w:val="22"/>
        </w:rPr>
      </w:pPr>
      <w:r w:rsidRPr="00B152B5">
        <w:rPr>
          <w:rFonts w:ascii="Arial" w:eastAsia="Arial" w:hAnsi="Arial" w:cs="Arial"/>
          <w:color w:val="0B0C0C"/>
          <w:sz w:val="22"/>
          <w:szCs w:val="22"/>
        </w:rPr>
        <w:t xml:space="preserve">The </w:t>
      </w:r>
      <w:r w:rsidR="524AA3CE" w:rsidRPr="00B152B5">
        <w:rPr>
          <w:rFonts w:ascii="Arial" w:eastAsia="Arial" w:hAnsi="Arial" w:cs="Arial"/>
          <w:color w:val="0B0C0C"/>
          <w:sz w:val="22"/>
          <w:szCs w:val="22"/>
        </w:rPr>
        <w:t xml:space="preserve">funding </w:t>
      </w:r>
      <w:r w:rsidRPr="00B152B5">
        <w:rPr>
          <w:rFonts w:ascii="Arial" w:eastAsia="Arial" w:hAnsi="Arial" w:cs="Arial"/>
          <w:color w:val="0B0C0C"/>
          <w:sz w:val="22"/>
          <w:szCs w:val="22"/>
        </w:rPr>
        <w:t xml:space="preserve">is </w:t>
      </w:r>
      <w:r w:rsidR="524AA3CE" w:rsidRPr="00B152B5">
        <w:rPr>
          <w:rFonts w:ascii="Arial" w:eastAsia="Arial" w:hAnsi="Arial" w:cs="Arial"/>
          <w:color w:val="0B0C0C"/>
          <w:sz w:val="22"/>
          <w:szCs w:val="22"/>
        </w:rPr>
        <w:t>intended to:</w:t>
      </w:r>
    </w:p>
    <w:p w14:paraId="6363AC63" w14:textId="4BEDCED3" w:rsidR="524AA3CE" w:rsidRPr="00B152B5" w:rsidRDefault="524AA3CE" w:rsidP="551DBBB0">
      <w:pPr>
        <w:pStyle w:val="ListParagraph"/>
        <w:numPr>
          <w:ilvl w:val="0"/>
          <w:numId w:val="6"/>
        </w:numPr>
        <w:shd w:val="clear" w:color="auto" w:fill="FFFFFF" w:themeFill="background1"/>
        <w:spacing w:after="0"/>
        <w:ind w:left="300"/>
        <w:rPr>
          <w:rFonts w:ascii="Arial" w:eastAsia="Arial" w:hAnsi="Arial" w:cs="Arial"/>
          <w:color w:val="0B0C0C"/>
          <w:sz w:val="22"/>
          <w:szCs w:val="22"/>
        </w:rPr>
      </w:pPr>
      <w:r w:rsidRPr="00B152B5">
        <w:rPr>
          <w:rFonts w:ascii="Arial" w:eastAsia="Arial" w:hAnsi="Arial" w:cs="Arial"/>
          <w:color w:val="0B0C0C"/>
          <w:sz w:val="22"/>
          <w:szCs w:val="22"/>
        </w:rPr>
        <w:t>help providers adopt setting-wide inclusive practices</w:t>
      </w:r>
    </w:p>
    <w:p w14:paraId="136C29AB" w14:textId="206A82EB" w:rsidR="524AA3CE" w:rsidRPr="00B152B5" w:rsidRDefault="524AA3CE" w:rsidP="551DBBB0">
      <w:pPr>
        <w:pStyle w:val="ListParagraph"/>
        <w:numPr>
          <w:ilvl w:val="0"/>
          <w:numId w:val="6"/>
        </w:numPr>
        <w:shd w:val="clear" w:color="auto" w:fill="FFFFFF" w:themeFill="background1"/>
        <w:spacing w:after="0"/>
        <w:ind w:left="300"/>
        <w:rPr>
          <w:rFonts w:ascii="Arial" w:eastAsia="Arial" w:hAnsi="Arial" w:cs="Arial"/>
          <w:color w:val="0B0C0C"/>
          <w:sz w:val="22"/>
          <w:szCs w:val="22"/>
        </w:rPr>
      </w:pPr>
      <w:r w:rsidRPr="00B152B5">
        <w:rPr>
          <w:rFonts w:ascii="Arial" w:eastAsia="Arial" w:hAnsi="Arial" w:cs="Arial"/>
          <w:color w:val="0B0C0C"/>
          <w:sz w:val="22"/>
          <w:szCs w:val="22"/>
        </w:rPr>
        <w:t>reduce reliance on individual child-based funding applications</w:t>
      </w:r>
    </w:p>
    <w:p w14:paraId="109A907B" w14:textId="66C3460D" w:rsidR="524AA3CE" w:rsidRDefault="524AA3CE" w:rsidP="551DBBB0">
      <w:pPr>
        <w:pStyle w:val="ListParagraph"/>
        <w:numPr>
          <w:ilvl w:val="0"/>
          <w:numId w:val="6"/>
        </w:numPr>
        <w:shd w:val="clear" w:color="auto" w:fill="FFFFFF" w:themeFill="background1"/>
        <w:spacing w:after="0"/>
        <w:ind w:left="300"/>
        <w:rPr>
          <w:rFonts w:ascii="Arial" w:eastAsia="Arial" w:hAnsi="Arial" w:cs="Arial"/>
          <w:color w:val="0B0C0C"/>
          <w:sz w:val="22"/>
          <w:szCs w:val="22"/>
        </w:rPr>
      </w:pPr>
      <w:r w:rsidRPr="00B152B5">
        <w:rPr>
          <w:rFonts w:ascii="Arial" w:eastAsia="Arial" w:hAnsi="Arial" w:cs="Arial"/>
          <w:color w:val="0B0C0C"/>
          <w:sz w:val="22"/>
          <w:szCs w:val="22"/>
        </w:rPr>
        <w:t>enable early intervention for children with SEND</w:t>
      </w:r>
    </w:p>
    <w:p w14:paraId="369214EB" w14:textId="77777777" w:rsidR="00944816" w:rsidRDefault="00944816" w:rsidP="00944816">
      <w:pPr>
        <w:shd w:val="clear" w:color="auto" w:fill="FFFFFF" w:themeFill="background1"/>
        <w:spacing w:after="0"/>
        <w:rPr>
          <w:rFonts w:ascii="Arial" w:eastAsia="Arial" w:hAnsi="Arial" w:cs="Arial"/>
          <w:color w:val="0B0C0C"/>
          <w:sz w:val="22"/>
          <w:szCs w:val="22"/>
        </w:rPr>
      </w:pPr>
    </w:p>
    <w:p w14:paraId="2F51E088" w14:textId="193C4BC3" w:rsidR="551DBBB0" w:rsidRDefault="00944816" w:rsidP="00944816">
      <w:pPr>
        <w:shd w:val="clear" w:color="auto" w:fill="FFFFFF" w:themeFill="background1"/>
        <w:spacing w:after="0"/>
        <w:rPr>
          <w:rFonts w:ascii="Arial" w:eastAsia="Arial" w:hAnsi="Arial" w:cs="Arial"/>
          <w:color w:val="0B0C0C"/>
          <w:sz w:val="22"/>
          <w:szCs w:val="22"/>
        </w:rPr>
      </w:pPr>
      <w:r w:rsidRPr="00944816">
        <w:rPr>
          <w:rFonts w:ascii="Arial" w:eastAsia="Arial" w:hAnsi="Arial" w:cs="Arial"/>
          <w:color w:val="0B0C0C"/>
          <w:sz w:val="22"/>
          <w:szCs w:val="22"/>
        </w:rPr>
        <w:t>To allow local authorities to provide timely allocations to providers, they d</w:t>
      </w:r>
      <w:r>
        <w:rPr>
          <w:rFonts w:ascii="Arial" w:eastAsia="Arial" w:hAnsi="Arial" w:cs="Arial"/>
          <w:color w:val="0B0C0C"/>
          <w:sz w:val="22"/>
          <w:szCs w:val="22"/>
        </w:rPr>
        <w:t>id</w:t>
      </w:r>
      <w:r w:rsidRPr="00944816">
        <w:rPr>
          <w:rFonts w:ascii="Arial" w:eastAsia="Arial" w:hAnsi="Arial" w:cs="Arial"/>
          <w:color w:val="0B0C0C"/>
          <w:sz w:val="22"/>
          <w:szCs w:val="22"/>
        </w:rPr>
        <w:t xml:space="preserve"> not need to consult with their Schools Forum on passing on the inclusive early years fund funding to early years providers</w:t>
      </w:r>
      <w:r>
        <w:rPr>
          <w:rFonts w:ascii="Arial" w:eastAsia="Arial" w:hAnsi="Arial" w:cs="Arial"/>
          <w:color w:val="0B0C0C"/>
          <w:sz w:val="22"/>
          <w:szCs w:val="22"/>
        </w:rPr>
        <w:t xml:space="preserve">, however in Bolton this was shared and discussed at the Early Years Subgroup of the Schools Forum. </w:t>
      </w:r>
    </w:p>
    <w:p w14:paraId="2B8E234E" w14:textId="77777777" w:rsidR="00944816" w:rsidRDefault="00944816" w:rsidP="00944816">
      <w:pPr>
        <w:shd w:val="clear" w:color="auto" w:fill="FFFFFF" w:themeFill="background1"/>
        <w:spacing w:after="0"/>
        <w:rPr>
          <w:rFonts w:ascii="Arial" w:eastAsia="Arial" w:hAnsi="Arial" w:cs="Arial"/>
          <w:color w:val="0B0C0C"/>
          <w:sz w:val="22"/>
          <w:szCs w:val="22"/>
        </w:rPr>
      </w:pPr>
    </w:p>
    <w:p w14:paraId="3A778A1F" w14:textId="77777777" w:rsidR="00404B02" w:rsidRPr="00B152B5" w:rsidRDefault="00404B02" w:rsidP="00404B02">
      <w:pPr>
        <w:rPr>
          <w:b/>
          <w:bCs/>
          <w:sz w:val="22"/>
          <w:szCs w:val="22"/>
          <w:u w:val="single"/>
        </w:rPr>
      </w:pPr>
      <w:r w:rsidRPr="7AEE37EA">
        <w:rPr>
          <w:b/>
          <w:bCs/>
          <w:sz w:val="22"/>
          <w:szCs w:val="22"/>
          <w:u w:val="single"/>
        </w:rPr>
        <w:t>Timescales</w:t>
      </w:r>
    </w:p>
    <w:tbl>
      <w:tblPr>
        <w:tblStyle w:val="TableGrid"/>
        <w:tblW w:w="0" w:type="auto"/>
        <w:tblLook w:val="04A0" w:firstRow="1" w:lastRow="0" w:firstColumn="1" w:lastColumn="0" w:noHBand="0" w:noVBand="1"/>
      </w:tblPr>
      <w:tblGrid>
        <w:gridCol w:w="6658"/>
        <w:gridCol w:w="2358"/>
      </w:tblGrid>
      <w:tr w:rsidR="00404B02" w:rsidRPr="00B152B5" w14:paraId="1BAF00E8" w14:textId="77777777" w:rsidTr="00A350DD">
        <w:tc>
          <w:tcPr>
            <w:tcW w:w="6658" w:type="dxa"/>
          </w:tcPr>
          <w:p w14:paraId="16FAAD04" w14:textId="77777777" w:rsidR="00404B02" w:rsidRPr="00B152B5" w:rsidRDefault="00404B02" w:rsidP="00A350DD">
            <w:pPr>
              <w:jc w:val="center"/>
              <w:rPr>
                <w:b/>
                <w:bCs/>
                <w:sz w:val="22"/>
                <w:szCs w:val="22"/>
                <w:u w:val="single"/>
              </w:rPr>
            </w:pPr>
            <w:r w:rsidRPr="00B152B5">
              <w:rPr>
                <w:b/>
                <w:bCs/>
                <w:sz w:val="22"/>
                <w:szCs w:val="22"/>
                <w:u w:val="single"/>
              </w:rPr>
              <w:t>Action</w:t>
            </w:r>
          </w:p>
        </w:tc>
        <w:tc>
          <w:tcPr>
            <w:tcW w:w="2358" w:type="dxa"/>
          </w:tcPr>
          <w:p w14:paraId="29CC3F8E" w14:textId="77777777" w:rsidR="00404B02" w:rsidRPr="00B152B5" w:rsidRDefault="00404B02" w:rsidP="00A350DD">
            <w:pPr>
              <w:jc w:val="center"/>
              <w:rPr>
                <w:b/>
                <w:bCs/>
                <w:sz w:val="22"/>
                <w:szCs w:val="22"/>
                <w:u w:val="single"/>
              </w:rPr>
            </w:pPr>
            <w:r w:rsidRPr="00B152B5">
              <w:rPr>
                <w:b/>
                <w:bCs/>
                <w:sz w:val="22"/>
                <w:szCs w:val="22"/>
                <w:u w:val="single"/>
              </w:rPr>
              <w:t>Date</w:t>
            </w:r>
          </w:p>
        </w:tc>
      </w:tr>
      <w:tr w:rsidR="00404B02" w:rsidRPr="00B152B5" w14:paraId="42E1C033" w14:textId="77777777" w:rsidTr="00A350DD">
        <w:tc>
          <w:tcPr>
            <w:tcW w:w="6658" w:type="dxa"/>
          </w:tcPr>
          <w:p w14:paraId="23C2815A" w14:textId="77777777" w:rsidR="00404B02" w:rsidRPr="00B152B5" w:rsidRDefault="00404B02" w:rsidP="00A350DD">
            <w:pPr>
              <w:rPr>
                <w:b/>
                <w:bCs/>
                <w:sz w:val="22"/>
                <w:szCs w:val="22"/>
                <w:u w:val="single"/>
              </w:rPr>
            </w:pPr>
            <w:r w:rsidRPr="00B152B5">
              <w:rPr>
                <w:rFonts w:ascii="Arial" w:eastAsia="Arial" w:hAnsi="Arial" w:cs="Arial"/>
                <w:color w:val="0B0C0C"/>
                <w:sz w:val="22"/>
                <w:szCs w:val="22"/>
              </w:rPr>
              <w:t>Local authority inclusive early years funding (IEYF) calculator tool</w:t>
            </w:r>
          </w:p>
        </w:tc>
        <w:tc>
          <w:tcPr>
            <w:tcW w:w="2358" w:type="dxa"/>
          </w:tcPr>
          <w:p w14:paraId="77E90E97" w14:textId="77777777" w:rsidR="00404B02" w:rsidRPr="00B152B5" w:rsidRDefault="00404B02" w:rsidP="00A350DD">
            <w:pPr>
              <w:rPr>
                <w:b/>
                <w:bCs/>
                <w:sz w:val="22"/>
                <w:szCs w:val="22"/>
                <w:u w:val="single"/>
              </w:rPr>
            </w:pPr>
            <w:r w:rsidRPr="00B152B5">
              <w:rPr>
                <w:rFonts w:ascii="Arial" w:eastAsia="Arial" w:hAnsi="Arial" w:cs="Arial"/>
                <w:color w:val="0B0C0C"/>
                <w:sz w:val="22"/>
                <w:szCs w:val="22"/>
              </w:rPr>
              <w:t>March 2026</w:t>
            </w:r>
          </w:p>
        </w:tc>
      </w:tr>
      <w:tr w:rsidR="00404B02" w:rsidRPr="00B152B5" w14:paraId="119B2986" w14:textId="77777777" w:rsidTr="00A350DD">
        <w:tc>
          <w:tcPr>
            <w:tcW w:w="6658" w:type="dxa"/>
          </w:tcPr>
          <w:p w14:paraId="69973C6B" w14:textId="77777777" w:rsidR="00404B02" w:rsidRPr="00B152B5" w:rsidRDefault="00404B02" w:rsidP="00A350DD">
            <w:pPr>
              <w:rPr>
                <w:sz w:val="22"/>
                <w:szCs w:val="22"/>
              </w:rPr>
            </w:pPr>
            <w:r w:rsidRPr="00B152B5">
              <w:rPr>
                <w:sz w:val="22"/>
                <w:szCs w:val="22"/>
              </w:rPr>
              <w:t>Local authorities to inform DfE of distribution criteria and indicative allocations</w:t>
            </w:r>
          </w:p>
        </w:tc>
        <w:tc>
          <w:tcPr>
            <w:tcW w:w="2358" w:type="dxa"/>
          </w:tcPr>
          <w:p w14:paraId="69F5B12E" w14:textId="77777777" w:rsidR="00404B02" w:rsidRPr="00B152B5" w:rsidRDefault="00404B02" w:rsidP="00A350DD">
            <w:pPr>
              <w:rPr>
                <w:sz w:val="22"/>
                <w:szCs w:val="22"/>
              </w:rPr>
            </w:pPr>
            <w:r w:rsidRPr="392EEB09">
              <w:rPr>
                <w:sz w:val="22"/>
                <w:szCs w:val="22"/>
              </w:rPr>
              <w:t>May 2026</w:t>
            </w:r>
          </w:p>
        </w:tc>
      </w:tr>
      <w:tr w:rsidR="00404B02" w:rsidRPr="00B152B5" w14:paraId="17AEEE77" w14:textId="77777777" w:rsidTr="00A350DD">
        <w:tc>
          <w:tcPr>
            <w:tcW w:w="6658" w:type="dxa"/>
          </w:tcPr>
          <w:p w14:paraId="0894BE2B" w14:textId="77777777" w:rsidR="00404B02" w:rsidRPr="00B152B5" w:rsidRDefault="00404B02" w:rsidP="00A350DD">
            <w:pPr>
              <w:rPr>
                <w:sz w:val="22"/>
                <w:szCs w:val="22"/>
              </w:rPr>
            </w:pPr>
            <w:r w:rsidRPr="00B152B5">
              <w:rPr>
                <w:sz w:val="22"/>
                <w:szCs w:val="22"/>
              </w:rPr>
              <w:t>Local authorities to inform providers of allocation</w:t>
            </w:r>
          </w:p>
        </w:tc>
        <w:tc>
          <w:tcPr>
            <w:tcW w:w="2358" w:type="dxa"/>
          </w:tcPr>
          <w:p w14:paraId="4D502BD8" w14:textId="77777777" w:rsidR="00404B02" w:rsidRPr="00B152B5" w:rsidRDefault="00404B02" w:rsidP="00A350DD">
            <w:pPr>
              <w:rPr>
                <w:sz w:val="22"/>
                <w:szCs w:val="22"/>
              </w:rPr>
            </w:pPr>
            <w:r w:rsidRPr="00B152B5">
              <w:rPr>
                <w:sz w:val="22"/>
                <w:szCs w:val="22"/>
              </w:rPr>
              <w:t>May 2026</w:t>
            </w:r>
          </w:p>
        </w:tc>
      </w:tr>
      <w:tr w:rsidR="00404B02" w:rsidRPr="00B152B5" w14:paraId="0A06F6CD" w14:textId="77777777" w:rsidTr="00A350DD">
        <w:tc>
          <w:tcPr>
            <w:tcW w:w="6658" w:type="dxa"/>
          </w:tcPr>
          <w:p w14:paraId="2CFEFB69" w14:textId="77777777" w:rsidR="00404B02" w:rsidRPr="00B152B5" w:rsidRDefault="00404B02" w:rsidP="00A350DD">
            <w:pPr>
              <w:rPr>
                <w:b/>
                <w:bCs/>
                <w:sz w:val="22"/>
                <w:szCs w:val="22"/>
                <w:u w:val="single"/>
              </w:rPr>
            </w:pPr>
            <w:r w:rsidRPr="00B152B5">
              <w:rPr>
                <w:rFonts w:ascii="Arial" w:eastAsia="Arial" w:hAnsi="Arial" w:cs="Arial"/>
                <w:color w:val="0B0C0C"/>
                <w:sz w:val="22"/>
                <w:szCs w:val="22"/>
              </w:rPr>
              <w:t>Final allocations confirmed</w:t>
            </w:r>
          </w:p>
        </w:tc>
        <w:tc>
          <w:tcPr>
            <w:tcW w:w="2358" w:type="dxa"/>
          </w:tcPr>
          <w:p w14:paraId="4CFFBD1E" w14:textId="77777777" w:rsidR="00404B02" w:rsidRPr="00B152B5" w:rsidRDefault="00404B02" w:rsidP="00A350DD">
            <w:pPr>
              <w:rPr>
                <w:b/>
                <w:bCs/>
                <w:sz w:val="22"/>
                <w:szCs w:val="22"/>
                <w:u w:val="single"/>
              </w:rPr>
            </w:pPr>
            <w:r w:rsidRPr="00B152B5">
              <w:rPr>
                <w:rFonts w:ascii="Arial" w:eastAsia="Arial" w:hAnsi="Arial" w:cs="Arial"/>
                <w:color w:val="0B0C0C"/>
                <w:sz w:val="22"/>
                <w:szCs w:val="22"/>
              </w:rPr>
              <w:t>July/Aug 2026</w:t>
            </w:r>
          </w:p>
        </w:tc>
      </w:tr>
      <w:tr w:rsidR="00404B02" w:rsidRPr="00B152B5" w14:paraId="6AED2EAF" w14:textId="77777777" w:rsidTr="00A350DD">
        <w:tc>
          <w:tcPr>
            <w:tcW w:w="6658" w:type="dxa"/>
          </w:tcPr>
          <w:p w14:paraId="4836D437" w14:textId="77777777" w:rsidR="00404B02" w:rsidRPr="00B152B5" w:rsidRDefault="00404B02" w:rsidP="00A350DD">
            <w:pPr>
              <w:rPr>
                <w:b/>
                <w:bCs/>
                <w:sz w:val="22"/>
                <w:szCs w:val="22"/>
                <w:u w:val="single"/>
              </w:rPr>
            </w:pPr>
            <w:r w:rsidRPr="00B152B5">
              <w:rPr>
                <w:rFonts w:ascii="Arial" w:eastAsia="Arial" w:hAnsi="Arial" w:cs="Arial"/>
                <w:color w:val="0B0C0C"/>
                <w:sz w:val="22"/>
                <w:szCs w:val="22"/>
              </w:rPr>
              <w:t>Payments made to Local authorities as a single lump sum</w:t>
            </w:r>
          </w:p>
        </w:tc>
        <w:tc>
          <w:tcPr>
            <w:tcW w:w="2358" w:type="dxa"/>
          </w:tcPr>
          <w:p w14:paraId="7A780F3A" w14:textId="77777777" w:rsidR="00404B02" w:rsidRPr="00B152B5" w:rsidRDefault="00404B02" w:rsidP="00A350DD">
            <w:pPr>
              <w:rPr>
                <w:b/>
                <w:bCs/>
                <w:sz w:val="22"/>
                <w:szCs w:val="22"/>
                <w:u w:val="single"/>
              </w:rPr>
            </w:pPr>
            <w:r w:rsidRPr="00B152B5">
              <w:rPr>
                <w:rFonts w:ascii="Arial" w:eastAsia="Arial" w:hAnsi="Arial" w:cs="Arial"/>
                <w:color w:val="0B0C0C"/>
                <w:sz w:val="22"/>
                <w:szCs w:val="22"/>
              </w:rPr>
              <w:t>July/Aug 2026</w:t>
            </w:r>
          </w:p>
        </w:tc>
      </w:tr>
      <w:tr w:rsidR="00404B02" w:rsidRPr="00B152B5" w14:paraId="05D6E0CF" w14:textId="77777777" w:rsidTr="00A350DD">
        <w:tc>
          <w:tcPr>
            <w:tcW w:w="6658" w:type="dxa"/>
          </w:tcPr>
          <w:p w14:paraId="2824F147" w14:textId="77777777" w:rsidR="00404B02" w:rsidRPr="00B152B5" w:rsidRDefault="00404B02" w:rsidP="00A350DD">
            <w:pPr>
              <w:rPr>
                <w:rFonts w:ascii="Arial" w:eastAsia="Arial" w:hAnsi="Arial" w:cs="Arial"/>
                <w:color w:val="0B0C0C"/>
                <w:sz w:val="22"/>
                <w:szCs w:val="22"/>
              </w:rPr>
            </w:pPr>
            <w:r w:rsidRPr="00B152B5">
              <w:rPr>
                <w:rFonts w:ascii="Arial" w:eastAsia="Arial" w:hAnsi="Arial" w:cs="Arial"/>
                <w:color w:val="0B0C0C"/>
                <w:sz w:val="22"/>
                <w:szCs w:val="22"/>
              </w:rPr>
              <w:t>Payments made to providers as a single lump sum</w:t>
            </w:r>
          </w:p>
        </w:tc>
        <w:tc>
          <w:tcPr>
            <w:tcW w:w="2358" w:type="dxa"/>
          </w:tcPr>
          <w:p w14:paraId="2C48F474" w14:textId="77777777" w:rsidR="00404B02" w:rsidRPr="00B152B5" w:rsidRDefault="00404B02" w:rsidP="00A350DD">
            <w:pPr>
              <w:rPr>
                <w:rFonts w:ascii="Arial" w:eastAsia="Arial" w:hAnsi="Arial" w:cs="Arial"/>
                <w:color w:val="0B0C0C"/>
                <w:sz w:val="22"/>
                <w:szCs w:val="22"/>
              </w:rPr>
            </w:pPr>
            <w:r w:rsidRPr="00B152B5">
              <w:rPr>
                <w:rFonts w:ascii="Arial" w:eastAsia="Arial" w:hAnsi="Arial" w:cs="Arial"/>
                <w:color w:val="0B0C0C"/>
                <w:sz w:val="22"/>
                <w:szCs w:val="22"/>
              </w:rPr>
              <w:t>Sept 2026</w:t>
            </w:r>
          </w:p>
        </w:tc>
      </w:tr>
    </w:tbl>
    <w:p w14:paraId="1F7B106F" w14:textId="77777777" w:rsidR="00404B02" w:rsidRPr="00B152B5" w:rsidRDefault="00404B02" w:rsidP="00404B02">
      <w:pPr>
        <w:rPr>
          <w:b/>
          <w:bCs/>
          <w:sz w:val="22"/>
          <w:szCs w:val="22"/>
          <w:u w:val="single"/>
        </w:rPr>
      </w:pPr>
    </w:p>
    <w:p w14:paraId="568425BB" w14:textId="77777777" w:rsidR="00404B02" w:rsidRDefault="00404B02" w:rsidP="00404B02">
      <w:pPr>
        <w:shd w:val="clear" w:color="auto" w:fill="FFFFFF" w:themeFill="background1"/>
        <w:spacing w:after="300"/>
        <w:rPr>
          <w:rFonts w:ascii="Arial" w:eastAsia="Arial" w:hAnsi="Arial" w:cs="Arial"/>
          <w:b/>
          <w:bCs/>
          <w:color w:val="0B0C0C"/>
          <w:sz w:val="22"/>
          <w:szCs w:val="22"/>
        </w:rPr>
      </w:pPr>
      <w:r w:rsidRPr="00B152B5">
        <w:rPr>
          <w:rFonts w:ascii="Arial" w:eastAsia="Arial" w:hAnsi="Arial" w:cs="Arial"/>
          <w:b/>
          <w:bCs/>
          <w:color w:val="0B0C0C"/>
          <w:sz w:val="22"/>
          <w:szCs w:val="22"/>
        </w:rPr>
        <w:t>Funding of the IEYF will continue for 2027-2028 and 2028-2029.</w:t>
      </w:r>
    </w:p>
    <w:p w14:paraId="65B95041" w14:textId="77777777" w:rsidR="00404B02" w:rsidRPr="00B152B5" w:rsidRDefault="00404B02" w:rsidP="00404B02">
      <w:pPr>
        <w:pStyle w:val="Heading2"/>
        <w:shd w:val="clear" w:color="auto" w:fill="FFFFFF" w:themeFill="background1"/>
        <w:spacing w:before="0" w:after="300"/>
        <w:rPr>
          <w:rFonts w:ascii="Arial" w:eastAsia="Arial" w:hAnsi="Arial" w:cs="Arial"/>
          <w:b/>
          <w:bCs/>
          <w:color w:val="0B0C0C"/>
          <w:sz w:val="22"/>
          <w:szCs w:val="22"/>
          <w:u w:val="single"/>
        </w:rPr>
      </w:pPr>
      <w:r w:rsidRPr="00B152B5">
        <w:rPr>
          <w:rFonts w:ascii="Arial" w:eastAsia="Arial" w:hAnsi="Arial" w:cs="Arial"/>
          <w:b/>
          <w:bCs/>
          <w:color w:val="0B0C0C"/>
          <w:sz w:val="22"/>
          <w:szCs w:val="22"/>
          <w:u w:val="single"/>
        </w:rPr>
        <w:t>Permitted use of funding - eligible spend</w:t>
      </w:r>
    </w:p>
    <w:p w14:paraId="1148AB5A" w14:textId="77777777" w:rsidR="00404B02" w:rsidRPr="00B152B5" w:rsidRDefault="00404B02" w:rsidP="00404B02">
      <w:pPr>
        <w:shd w:val="clear" w:color="auto" w:fill="FFFFFF" w:themeFill="background1"/>
        <w:spacing w:after="300"/>
        <w:rPr>
          <w:sz w:val="22"/>
          <w:szCs w:val="22"/>
        </w:rPr>
      </w:pPr>
      <w:r w:rsidRPr="00B152B5">
        <w:rPr>
          <w:rFonts w:ascii="Arial" w:eastAsia="Arial" w:hAnsi="Arial" w:cs="Arial"/>
          <w:color w:val="0B0C0C"/>
          <w:sz w:val="22"/>
          <w:szCs w:val="22"/>
        </w:rPr>
        <w:t>Local authorities should note that all funding received via the IEYF must be distributed to eligible early years providers as additional funding, regardless of distribution method.</w:t>
      </w:r>
    </w:p>
    <w:p w14:paraId="2BE25817" w14:textId="77777777" w:rsidR="00404B02" w:rsidRPr="00B152B5" w:rsidRDefault="00404B02" w:rsidP="00404B02">
      <w:pPr>
        <w:shd w:val="clear" w:color="auto" w:fill="FFFFFF" w:themeFill="background1"/>
        <w:spacing w:after="300"/>
        <w:rPr>
          <w:rFonts w:ascii="Arial" w:eastAsia="Arial" w:hAnsi="Arial" w:cs="Arial"/>
          <w:b/>
          <w:bCs/>
          <w:color w:val="0B0C0C"/>
          <w:sz w:val="22"/>
          <w:szCs w:val="22"/>
        </w:rPr>
      </w:pPr>
      <w:r w:rsidRPr="00B152B5">
        <w:rPr>
          <w:rFonts w:ascii="Arial" w:eastAsia="Arial" w:hAnsi="Arial" w:cs="Arial"/>
          <w:b/>
          <w:bCs/>
          <w:color w:val="0B0C0C"/>
          <w:sz w:val="22"/>
          <w:szCs w:val="22"/>
        </w:rPr>
        <w:t xml:space="preserve">The funding must </w:t>
      </w:r>
      <w:r w:rsidRPr="00B152B5">
        <w:rPr>
          <w:rFonts w:ascii="Arial" w:eastAsia="Arial" w:hAnsi="Arial" w:cs="Arial"/>
          <w:b/>
          <w:bCs/>
          <w:color w:val="0B0C0C"/>
          <w:sz w:val="22"/>
          <w:szCs w:val="22"/>
          <w:u w:val="single"/>
        </w:rPr>
        <w:t>not</w:t>
      </w:r>
      <w:r w:rsidRPr="00B152B5">
        <w:rPr>
          <w:rFonts w:ascii="Arial" w:eastAsia="Arial" w:hAnsi="Arial" w:cs="Arial"/>
          <w:b/>
          <w:bCs/>
          <w:color w:val="0B0C0C"/>
          <w:sz w:val="22"/>
          <w:szCs w:val="22"/>
        </w:rPr>
        <w:t xml:space="preserve"> be used:</w:t>
      </w:r>
    </w:p>
    <w:p w14:paraId="255A2D45" w14:textId="77777777" w:rsidR="00404B02" w:rsidRPr="00B152B5" w:rsidRDefault="00404B02" w:rsidP="00404B02">
      <w:pPr>
        <w:pStyle w:val="ListParagraph"/>
        <w:numPr>
          <w:ilvl w:val="0"/>
          <w:numId w:val="4"/>
        </w:numPr>
        <w:shd w:val="clear" w:color="auto" w:fill="FFFFFF" w:themeFill="background1"/>
        <w:spacing w:after="0"/>
        <w:ind w:left="300"/>
        <w:rPr>
          <w:rFonts w:ascii="Arial" w:eastAsia="Arial" w:hAnsi="Arial" w:cs="Arial"/>
          <w:color w:val="0B0C0C"/>
          <w:sz w:val="22"/>
          <w:szCs w:val="22"/>
        </w:rPr>
      </w:pPr>
      <w:r w:rsidRPr="00B152B5">
        <w:rPr>
          <w:rFonts w:ascii="Arial" w:eastAsia="Arial" w:hAnsi="Arial" w:cs="Arial"/>
          <w:color w:val="0B0C0C"/>
          <w:sz w:val="22"/>
          <w:szCs w:val="22"/>
        </w:rPr>
        <w:t>as a substitute for entitlements funding, early years pupil premium, disability access funding, SEN inclusion funding or high needs funding</w:t>
      </w:r>
    </w:p>
    <w:p w14:paraId="0F876B6A" w14:textId="77777777" w:rsidR="00404B02" w:rsidRPr="00B152B5" w:rsidRDefault="00404B02" w:rsidP="00404B02">
      <w:pPr>
        <w:pStyle w:val="ListParagraph"/>
        <w:numPr>
          <w:ilvl w:val="0"/>
          <w:numId w:val="4"/>
        </w:numPr>
        <w:shd w:val="clear" w:color="auto" w:fill="FFFFFF" w:themeFill="background1"/>
        <w:spacing w:after="0"/>
        <w:ind w:left="300"/>
        <w:rPr>
          <w:rFonts w:ascii="Arial" w:eastAsia="Arial" w:hAnsi="Arial" w:cs="Arial"/>
          <w:color w:val="0B0C0C"/>
          <w:sz w:val="22"/>
          <w:szCs w:val="22"/>
        </w:rPr>
      </w:pPr>
      <w:r w:rsidRPr="00B152B5">
        <w:rPr>
          <w:rFonts w:ascii="Arial" w:eastAsia="Arial" w:hAnsi="Arial" w:cs="Arial"/>
          <w:color w:val="0B0C0C"/>
          <w:sz w:val="22"/>
          <w:szCs w:val="22"/>
        </w:rPr>
        <w:t>for contingency purposes</w:t>
      </w:r>
    </w:p>
    <w:p w14:paraId="59306F96" w14:textId="77777777" w:rsidR="00404B02" w:rsidRPr="00B152B5" w:rsidRDefault="00404B02" w:rsidP="00404B02">
      <w:pPr>
        <w:pStyle w:val="ListParagraph"/>
        <w:numPr>
          <w:ilvl w:val="0"/>
          <w:numId w:val="4"/>
        </w:numPr>
        <w:shd w:val="clear" w:color="auto" w:fill="FFFFFF" w:themeFill="background1"/>
        <w:spacing w:after="0"/>
        <w:ind w:left="300"/>
        <w:rPr>
          <w:rFonts w:ascii="Arial" w:eastAsia="Arial" w:hAnsi="Arial" w:cs="Arial"/>
          <w:color w:val="0B0C0C"/>
          <w:sz w:val="22"/>
          <w:szCs w:val="22"/>
        </w:rPr>
      </w:pPr>
      <w:r w:rsidRPr="00B152B5">
        <w:rPr>
          <w:rFonts w:ascii="Arial" w:eastAsia="Arial" w:hAnsi="Arial" w:cs="Arial"/>
          <w:color w:val="0B0C0C"/>
          <w:sz w:val="22"/>
          <w:szCs w:val="22"/>
        </w:rPr>
        <w:t>for local authority central or administration costs</w:t>
      </w:r>
    </w:p>
    <w:p w14:paraId="3235C288" w14:textId="77777777" w:rsidR="00404B02" w:rsidRPr="00B152B5" w:rsidRDefault="00404B02" w:rsidP="00404B02">
      <w:pPr>
        <w:shd w:val="clear" w:color="auto" w:fill="FFFFFF" w:themeFill="background1"/>
        <w:spacing w:after="0"/>
        <w:rPr>
          <w:rFonts w:ascii="Arial" w:eastAsia="Arial" w:hAnsi="Arial" w:cs="Arial"/>
          <w:color w:val="0B0C0C"/>
          <w:sz w:val="22"/>
          <w:szCs w:val="22"/>
        </w:rPr>
      </w:pPr>
    </w:p>
    <w:p w14:paraId="5374AA9B" w14:textId="77777777" w:rsidR="00404B02" w:rsidRPr="00B152B5" w:rsidRDefault="00404B02" w:rsidP="00404B02">
      <w:pPr>
        <w:shd w:val="clear" w:color="auto" w:fill="FFFFFF" w:themeFill="background1"/>
        <w:spacing w:after="300"/>
        <w:rPr>
          <w:rFonts w:ascii="Arial" w:eastAsia="Arial" w:hAnsi="Arial" w:cs="Arial"/>
          <w:color w:val="0B0C0C"/>
          <w:sz w:val="22"/>
          <w:szCs w:val="22"/>
        </w:rPr>
      </w:pPr>
      <w:r w:rsidRPr="00B152B5">
        <w:rPr>
          <w:rFonts w:ascii="Arial" w:eastAsia="Arial" w:hAnsi="Arial" w:cs="Arial"/>
          <w:color w:val="0B0C0C"/>
          <w:sz w:val="22"/>
          <w:szCs w:val="22"/>
        </w:rPr>
        <w:t xml:space="preserve">The IEYF must be distributed to providers to help them become more inclusive of children with SEND. </w:t>
      </w:r>
    </w:p>
    <w:p w14:paraId="3DC1D5EC" w14:textId="77777777" w:rsidR="00404B02" w:rsidRPr="00B152B5" w:rsidRDefault="00404B02" w:rsidP="00404B02">
      <w:pPr>
        <w:shd w:val="clear" w:color="auto" w:fill="FFFFFF" w:themeFill="background1"/>
        <w:spacing w:after="300"/>
        <w:rPr>
          <w:rFonts w:ascii="Arial" w:eastAsia="Arial" w:hAnsi="Arial" w:cs="Arial"/>
          <w:b/>
          <w:bCs/>
          <w:color w:val="0B0C0C"/>
          <w:sz w:val="22"/>
          <w:szCs w:val="22"/>
        </w:rPr>
      </w:pPr>
      <w:r w:rsidRPr="7AEE37EA">
        <w:rPr>
          <w:rFonts w:ascii="Arial" w:eastAsia="Arial" w:hAnsi="Arial" w:cs="Arial"/>
          <w:b/>
          <w:bCs/>
          <w:color w:val="0B0C0C"/>
          <w:sz w:val="22"/>
          <w:szCs w:val="22"/>
        </w:rPr>
        <w:lastRenderedPageBreak/>
        <w:t xml:space="preserve">The funding </w:t>
      </w:r>
      <w:r w:rsidRPr="7AEE37EA">
        <w:rPr>
          <w:rFonts w:ascii="Arial" w:eastAsia="Arial" w:hAnsi="Arial" w:cs="Arial"/>
          <w:b/>
          <w:bCs/>
          <w:color w:val="0B0C0C"/>
          <w:sz w:val="22"/>
          <w:szCs w:val="22"/>
          <w:u w:val="single"/>
        </w:rPr>
        <w:t>could</w:t>
      </w:r>
      <w:r w:rsidRPr="7AEE37EA">
        <w:rPr>
          <w:rFonts w:ascii="Arial" w:eastAsia="Arial" w:hAnsi="Arial" w:cs="Arial"/>
          <w:b/>
          <w:bCs/>
          <w:color w:val="0B0C0C"/>
          <w:sz w:val="22"/>
          <w:szCs w:val="22"/>
        </w:rPr>
        <w:t xml:space="preserve"> be used for: </w:t>
      </w:r>
    </w:p>
    <w:p w14:paraId="5038A1DD" w14:textId="77777777" w:rsidR="00404B02" w:rsidRPr="00B152B5" w:rsidRDefault="00404B02" w:rsidP="00404B02">
      <w:pPr>
        <w:pStyle w:val="ListParagraph"/>
        <w:numPr>
          <w:ilvl w:val="0"/>
          <w:numId w:val="3"/>
        </w:numPr>
        <w:shd w:val="clear" w:color="auto" w:fill="FFFFFF" w:themeFill="background1"/>
        <w:spacing w:after="0"/>
        <w:ind w:left="300"/>
        <w:rPr>
          <w:rFonts w:ascii="Arial" w:eastAsia="Arial" w:hAnsi="Arial" w:cs="Arial"/>
          <w:color w:val="0B0C0C"/>
          <w:sz w:val="22"/>
          <w:szCs w:val="22"/>
        </w:rPr>
      </w:pPr>
      <w:r w:rsidRPr="00B152B5">
        <w:rPr>
          <w:rFonts w:ascii="Arial" w:eastAsia="Arial" w:hAnsi="Arial" w:cs="Arial"/>
          <w:color w:val="0B0C0C"/>
          <w:sz w:val="22"/>
          <w:szCs w:val="22"/>
        </w:rPr>
        <w:t>strategic planning</w:t>
      </w:r>
    </w:p>
    <w:p w14:paraId="27A6810A" w14:textId="77777777" w:rsidR="00404B02" w:rsidRPr="00B152B5" w:rsidRDefault="00404B02" w:rsidP="00404B02">
      <w:pPr>
        <w:pStyle w:val="ListParagraph"/>
        <w:numPr>
          <w:ilvl w:val="0"/>
          <w:numId w:val="3"/>
        </w:numPr>
        <w:shd w:val="clear" w:color="auto" w:fill="FFFFFF" w:themeFill="background1"/>
        <w:spacing w:after="0"/>
        <w:ind w:left="300"/>
        <w:rPr>
          <w:rFonts w:ascii="Arial" w:eastAsia="Arial" w:hAnsi="Arial" w:cs="Arial"/>
          <w:color w:val="0B0C0C"/>
          <w:sz w:val="22"/>
          <w:szCs w:val="22"/>
        </w:rPr>
      </w:pPr>
      <w:r w:rsidRPr="00B152B5">
        <w:rPr>
          <w:rFonts w:ascii="Arial" w:eastAsia="Arial" w:hAnsi="Arial" w:cs="Arial"/>
          <w:color w:val="0B0C0C"/>
          <w:sz w:val="22"/>
          <w:szCs w:val="22"/>
        </w:rPr>
        <w:t>workforce development</w:t>
      </w:r>
    </w:p>
    <w:p w14:paraId="39B129BC" w14:textId="77777777" w:rsidR="00404B02" w:rsidRPr="00B152B5" w:rsidRDefault="00404B02" w:rsidP="00404B02">
      <w:pPr>
        <w:pStyle w:val="ListParagraph"/>
        <w:numPr>
          <w:ilvl w:val="0"/>
          <w:numId w:val="3"/>
        </w:numPr>
        <w:shd w:val="clear" w:color="auto" w:fill="FFFFFF" w:themeFill="background1"/>
        <w:spacing w:after="0"/>
        <w:ind w:left="300"/>
        <w:rPr>
          <w:rFonts w:ascii="Arial" w:eastAsia="Arial" w:hAnsi="Arial" w:cs="Arial"/>
          <w:color w:val="0B0C0C"/>
          <w:sz w:val="22"/>
          <w:szCs w:val="22"/>
        </w:rPr>
      </w:pPr>
      <w:r w:rsidRPr="00B152B5">
        <w:rPr>
          <w:rFonts w:ascii="Arial" w:eastAsia="Arial" w:hAnsi="Arial" w:cs="Arial"/>
          <w:color w:val="0B0C0C"/>
          <w:sz w:val="22"/>
          <w:szCs w:val="22"/>
        </w:rPr>
        <w:t>adaptations or resources to create an inclusive environment</w:t>
      </w:r>
    </w:p>
    <w:p w14:paraId="5C9AE79D" w14:textId="77777777" w:rsidR="00404B02" w:rsidRPr="00B152B5" w:rsidRDefault="00404B02" w:rsidP="00404B02">
      <w:pPr>
        <w:shd w:val="clear" w:color="auto" w:fill="FFFFFF" w:themeFill="background1"/>
        <w:spacing w:after="0"/>
        <w:ind w:left="300"/>
        <w:rPr>
          <w:rFonts w:ascii="Arial" w:eastAsia="Arial" w:hAnsi="Arial" w:cs="Arial"/>
          <w:color w:val="0B0C0C"/>
          <w:sz w:val="22"/>
          <w:szCs w:val="22"/>
        </w:rPr>
      </w:pPr>
    </w:p>
    <w:p w14:paraId="3DB45577" w14:textId="0C4AD2EB" w:rsidR="00404B02" w:rsidRPr="00B152B5" w:rsidRDefault="00404B02" w:rsidP="00404B02">
      <w:pPr>
        <w:shd w:val="clear" w:color="auto" w:fill="FFFFFF" w:themeFill="background1"/>
        <w:spacing w:after="0"/>
        <w:rPr>
          <w:sz w:val="22"/>
          <w:szCs w:val="22"/>
        </w:rPr>
      </w:pPr>
      <w:r w:rsidRPr="00B152B5">
        <w:rPr>
          <w:rFonts w:ascii="Arial" w:eastAsia="Arial" w:hAnsi="Arial" w:cs="Arial"/>
          <w:color w:val="0B0C0C"/>
          <w:sz w:val="22"/>
          <w:szCs w:val="22"/>
        </w:rPr>
        <w:t>The DfE will publish further guidance on the use of the IEYF and how it complements other SEND funding for children in E</w:t>
      </w:r>
      <w:r w:rsidR="001A4C85">
        <w:rPr>
          <w:rFonts w:ascii="Arial" w:eastAsia="Arial" w:hAnsi="Arial" w:cs="Arial"/>
          <w:color w:val="0B0C0C"/>
          <w:sz w:val="22"/>
          <w:szCs w:val="22"/>
        </w:rPr>
        <w:t>arly Years</w:t>
      </w:r>
      <w:r w:rsidRPr="00B152B5">
        <w:rPr>
          <w:rFonts w:ascii="Arial" w:eastAsia="Arial" w:hAnsi="Arial" w:cs="Arial"/>
          <w:color w:val="0B0C0C"/>
          <w:sz w:val="22"/>
          <w:szCs w:val="22"/>
        </w:rPr>
        <w:t>.</w:t>
      </w:r>
    </w:p>
    <w:p w14:paraId="4A3F917E" w14:textId="77777777" w:rsidR="00404B02" w:rsidRPr="00B152B5" w:rsidRDefault="00404B02" w:rsidP="00404B02">
      <w:pPr>
        <w:shd w:val="clear" w:color="auto" w:fill="FFFFFF" w:themeFill="background1"/>
        <w:spacing w:after="0"/>
        <w:rPr>
          <w:rFonts w:ascii="Arial" w:eastAsia="Arial" w:hAnsi="Arial" w:cs="Arial"/>
          <w:color w:val="0B0C0C"/>
          <w:sz w:val="22"/>
          <w:szCs w:val="22"/>
        </w:rPr>
      </w:pPr>
    </w:p>
    <w:p w14:paraId="03BD71C2" w14:textId="77777777" w:rsidR="00404B02" w:rsidRPr="00B152B5" w:rsidRDefault="00404B02" w:rsidP="00404B02">
      <w:pPr>
        <w:pStyle w:val="Heading3"/>
        <w:shd w:val="clear" w:color="auto" w:fill="FFFFFF" w:themeFill="background1"/>
        <w:spacing w:before="0" w:after="300"/>
        <w:rPr>
          <w:sz w:val="22"/>
          <w:szCs w:val="22"/>
        </w:rPr>
      </w:pPr>
      <w:r w:rsidRPr="00B152B5">
        <w:rPr>
          <w:rFonts w:ascii="Arial" w:eastAsia="Arial" w:hAnsi="Arial" w:cs="Arial"/>
          <w:b/>
          <w:bCs/>
          <w:color w:val="0B0C0C"/>
          <w:sz w:val="22"/>
          <w:szCs w:val="22"/>
        </w:rPr>
        <w:t>Records and recording required</w:t>
      </w:r>
    </w:p>
    <w:p w14:paraId="15C1D0EF" w14:textId="77777777" w:rsidR="00404B02" w:rsidRPr="00B152B5" w:rsidRDefault="00404B02" w:rsidP="00404B02">
      <w:pPr>
        <w:shd w:val="clear" w:color="auto" w:fill="FFFFFF" w:themeFill="background1"/>
        <w:spacing w:after="300"/>
        <w:rPr>
          <w:sz w:val="22"/>
          <w:szCs w:val="22"/>
        </w:rPr>
      </w:pPr>
      <w:r w:rsidRPr="00B152B5">
        <w:rPr>
          <w:rFonts w:ascii="Arial" w:eastAsia="Arial" w:hAnsi="Arial" w:cs="Arial"/>
          <w:color w:val="0B0C0C"/>
          <w:sz w:val="22"/>
          <w:szCs w:val="22"/>
        </w:rPr>
        <w:t xml:space="preserve">Local authorities must maintain and keep clear records of income and expenditure in relation to the IEYF, including a record of allocations and evidence of the use of funds by providers.  </w:t>
      </w:r>
    </w:p>
    <w:p w14:paraId="47790FCE" w14:textId="77777777" w:rsidR="00404B02" w:rsidRPr="00B152B5" w:rsidRDefault="00404B02" w:rsidP="00404B02">
      <w:pPr>
        <w:shd w:val="clear" w:color="auto" w:fill="FFFFFF" w:themeFill="background1"/>
        <w:spacing w:after="300"/>
        <w:rPr>
          <w:rFonts w:ascii="Arial" w:eastAsia="Arial" w:hAnsi="Arial" w:cs="Arial"/>
          <w:color w:val="0B0C0C"/>
          <w:sz w:val="22"/>
          <w:szCs w:val="22"/>
        </w:rPr>
      </w:pPr>
      <w:r w:rsidRPr="00B152B5">
        <w:rPr>
          <w:rFonts w:ascii="Arial" w:eastAsia="Arial" w:hAnsi="Arial" w:cs="Arial"/>
          <w:color w:val="0B0C0C"/>
          <w:sz w:val="22"/>
          <w:szCs w:val="22"/>
        </w:rPr>
        <w:t>Local authorities should ensure that providers are:</w:t>
      </w:r>
    </w:p>
    <w:p w14:paraId="0A602768" w14:textId="77777777" w:rsidR="00404B02" w:rsidRPr="00B152B5" w:rsidRDefault="00404B02" w:rsidP="00404B02">
      <w:pPr>
        <w:pStyle w:val="ListParagraph"/>
        <w:numPr>
          <w:ilvl w:val="0"/>
          <w:numId w:val="7"/>
        </w:numPr>
        <w:shd w:val="clear" w:color="auto" w:fill="FFFFFF" w:themeFill="background1"/>
        <w:spacing w:after="300"/>
        <w:rPr>
          <w:sz w:val="22"/>
          <w:szCs w:val="22"/>
        </w:rPr>
      </w:pPr>
      <w:r w:rsidRPr="00B152B5">
        <w:rPr>
          <w:rFonts w:ascii="Arial" w:eastAsia="Arial" w:hAnsi="Arial" w:cs="Arial"/>
          <w:color w:val="0B0C0C"/>
          <w:sz w:val="22"/>
          <w:szCs w:val="22"/>
        </w:rPr>
        <w:t>Using the fund for its intended purpose</w:t>
      </w:r>
    </w:p>
    <w:p w14:paraId="25D484E5" w14:textId="77777777" w:rsidR="00404B02" w:rsidRPr="00B152B5" w:rsidRDefault="00404B02" w:rsidP="00404B02">
      <w:pPr>
        <w:pStyle w:val="ListParagraph"/>
        <w:numPr>
          <w:ilvl w:val="0"/>
          <w:numId w:val="7"/>
        </w:numPr>
        <w:shd w:val="clear" w:color="auto" w:fill="FFFFFF" w:themeFill="background1"/>
        <w:spacing w:after="300"/>
        <w:rPr>
          <w:sz w:val="22"/>
          <w:szCs w:val="22"/>
        </w:rPr>
      </w:pPr>
      <w:r w:rsidRPr="00B152B5">
        <w:rPr>
          <w:rFonts w:ascii="Arial" w:eastAsia="Arial" w:hAnsi="Arial" w:cs="Arial"/>
          <w:color w:val="0B0C0C"/>
          <w:sz w:val="22"/>
          <w:szCs w:val="22"/>
        </w:rPr>
        <w:t xml:space="preserve">Retaining financial records showing how the funds have been spent. </w:t>
      </w:r>
    </w:p>
    <w:p w14:paraId="64FAFCF0" w14:textId="66F10BE2" w:rsidR="00404B02" w:rsidRPr="00944816" w:rsidRDefault="00944816" w:rsidP="00404B02">
      <w:pPr>
        <w:shd w:val="clear" w:color="auto" w:fill="FFFFFF" w:themeFill="background1"/>
        <w:spacing w:after="300"/>
        <w:rPr>
          <w:sz w:val="22"/>
          <w:szCs w:val="22"/>
        </w:rPr>
      </w:pPr>
      <w:r w:rsidRPr="00944816">
        <w:rPr>
          <w:rFonts w:ascii="Arial" w:eastAsia="Arial" w:hAnsi="Arial" w:cs="Arial"/>
          <w:color w:val="0B0C0C"/>
          <w:sz w:val="22"/>
          <w:szCs w:val="22"/>
        </w:rPr>
        <w:t xml:space="preserve">The DfE </w:t>
      </w:r>
      <w:r w:rsidR="00404B02" w:rsidRPr="00944816">
        <w:rPr>
          <w:rFonts w:ascii="Arial" w:eastAsia="Arial" w:hAnsi="Arial" w:cs="Arial"/>
          <w:color w:val="0B0C0C"/>
          <w:sz w:val="22"/>
          <w:szCs w:val="22"/>
        </w:rPr>
        <w:t xml:space="preserve">do not expect local authorities to undertake detailed audits of all providers receiving the grant. </w:t>
      </w:r>
    </w:p>
    <w:p w14:paraId="0BC6626D" w14:textId="7F6FAEFD" w:rsidR="00404B02" w:rsidRPr="00B152B5" w:rsidRDefault="00944816" w:rsidP="00404B02">
      <w:pPr>
        <w:shd w:val="clear" w:color="auto" w:fill="FFFFFF" w:themeFill="background1"/>
        <w:spacing w:after="300"/>
        <w:rPr>
          <w:sz w:val="22"/>
          <w:szCs w:val="22"/>
        </w:rPr>
      </w:pPr>
      <w:r>
        <w:rPr>
          <w:rFonts w:ascii="Arial" w:eastAsia="Arial" w:hAnsi="Arial" w:cs="Arial"/>
          <w:color w:val="0B0C0C"/>
          <w:sz w:val="22"/>
          <w:szCs w:val="22"/>
        </w:rPr>
        <w:t>They</w:t>
      </w:r>
      <w:r w:rsidR="00404B02" w:rsidRPr="00B152B5">
        <w:rPr>
          <w:rFonts w:ascii="Arial" w:eastAsia="Arial" w:hAnsi="Arial" w:cs="Arial"/>
          <w:color w:val="0B0C0C"/>
          <w:sz w:val="22"/>
          <w:szCs w:val="22"/>
        </w:rPr>
        <w:t xml:space="preserve"> expect local authorities to take a proportionate approach to oversight which may include:</w:t>
      </w:r>
    </w:p>
    <w:p w14:paraId="54BA9DE7" w14:textId="77777777" w:rsidR="00404B02" w:rsidRPr="00B152B5" w:rsidRDefault="00404B02" w:rsidP="00404B02">
      <w:pPr>
        <w:pStyle w:val="ListParagraph"/>
        <w:numPr>
          <w:ilvl w:val="0"/>
          <w:numId w:val="2"/>
        </w:numPr>
        <w:shd w:val="clear" w:color="auto" w:fill="FFFFFF" w:themeFill="background1"/>
        <w:spacing w:after="0"/>
        <w:ind w:left="300"/>
        <w:rPr>
          <w:rFonts w:ascii="Arial" w:eastAsia="Arial" w:hAnsi="Arial" w:cs="Arial"/>
          <w:color w:val="0B0C0C"/>
          <w:sz w:val="22"/>
          <w:szCs w:val="22"/>
        </w:rPr>
      </w:pPr>
      <w:r w:rsidRPr="00B152B5">
        <w:rPr>
          <w:rFonts w:ascii="Arial" w:eastAsia="Arial" w:hAnsi="Arial" w:cs="Arial"/>
          <w:color w:val="0B0C0C"/>
          <w:sz w:val="22"/>
          <w:szCs w:val="22"/>
        </w:rPr>
        <w:t>requesting a summary from providers of how they have used the funds</w:t>
      </w:r>
    </w:p>
    <w:p w14:paraId="16488A80" w14:textId="77777777" w:rsidR="00404B02" w:rsidRPr="00B152B5" w:rsidRDefault="00404B02" w:rsidP="00404B02">
      <w:pPr>
        <w:pStyle w:val="ListParagraph"/>
        <w:numPr>
          <w:ilvl w:val="0"/>
          <w:numId w:val="2"/>
        </w:numPr>
        <w:shd w:val="clear" w:color="auto" w:fill="FFFFFF" w:themeFill="background1"/>
        <w:spacing w:after="0"/>
        <w:ind w:left="300"/>
        <w:rPr>
          <w:rFonts w:ascii="Arial" w:eastAsia="Arial" w:hAnsi="Arial" w:cs="Arial"/>
          <w:color w:val="FF0000"/>
          <w:sz w:val="22"/>
          <w:szCs w:val="22"/>
        </w:rPr>
      </w:pPr>
      <w:r w:rsidRPr="7AEE37EA">
        <w:rPr>
          <w:rFonts w:ascii="Arial" w:eastAsia="Arial" w:hAnsi="Arial" w:cs="Arial"/>
          <w:color w:val="0B0C0C"/>
          <w:sz w:val="22"/>
          <w:szCs w:val="22"/>
        </w:rPr>
        <w:t xml:space="preserve">using existing accountability mechanisms, such as review forms already used for SENIF applications </w:t>
      </w:r>
    </w:p>
    <w:p w14:paraId="77F61355" w14:textId="77777777" w:rsidR="00404B02" w:rsidRPr="00B152B5" w:rsidRDefault="00404B02" w:rsidP="00404B02">
      <w:pPr>
        <w:pStyle w:val="ListParagraph"/>
        <w:numPr>
          <w:ilvl w:val="0"/>
          <w:numId w:val="2"/>
        </w:numPr>
        <w:shd w:val="clear" w:color="auto" w:fill="FFFFFF" w:themeFill="background1"/>
        <w:spacing w:after="0"/>
        <w:ind w:left="300"/>
        <w:rPr>
          <w:rFonts w:ascii="Arial" w:eastAsia="Arial" w:hAnsi="Arial" w:cs="Arial"/>
          <w:color w:val="0B0C0C"/>
          <w:sz w:val="22"/>
          <w:szCs w:val="22"/>
        </w:rPr>
      </w:pPr>
      <w:r w:rsidRPr="00B152B5">
        <w:rPr>
          <w:rFonts w:ascii="Arial" w:eastAsia="Arial" w:hAnsi="Arial" w:cs="Arial"/>
          <w:color w:val="0B0C0C"/>
          <w:sz w:val="22"/>
          <w:szCs w:val="22"/>
        </w:rPr>
        <w:t>sampling a range of provider types and sizes through existing engagement forums to understand the use of funding and any emerging trends.</w:t>
      </w:r>
    </w:p>
    <w:p w14:paraId="3650A4FB" w14:textId="77777777" w:rsidR="00404B02" w:rsidRPr="00B152B5" w:rsidRDefault="00404B02" w:rsidP="00404B02">
      <w:pPr>
        <w:shd w:val="clear" w:color="auto" w:fill="FFFFFF" w:themeFill="background1"/>
        <w:spacing w:after="0"/>
        <w:rPr>
          <w:rFonts w:ascii="Arial" w:eastAsia="Arial" w:hAnsi="Arial" w:cs="Arial"/>
          <w:color w:val="0B0C0C"/>
          <w:sz w:val="22"/>
          <w:szCs w:val="22"/>
        </w:rPr>
      </w:pPr>
    </w:p>
    <w:p w14:paraId="4ED609D3" w14:textId="77777777" w:rsidR="00404B02" w:rsidRPr="00B152B5" w:rsidRDefault="00404B02" w:rsidP="00404B02">
      <w:pPr>
        <w:shd w:val="clear" w:color="auto" w:fill="FFFFFF" w:themeFill="background1"/>
        <w:spacing w:after="0"/>
        <w:rPr>
          <w:rFonts w:ascii="Arial" w:eastAsia="Arial" w:hAnsi="Arial" w:cs="Arial"/>
          <w:b/>
          <w:bCs/>
          <w:color w:val="0B0C0C"/>
          <w:sz w:val="22"/>
          <w:szCs w:val="22"/>
          <w:u w:val="single"/>
        </w:rPr>
      </w:pPr>
      <w:r w:rsidRPr="00B152B5">
        <w:rPr>
          <w:rFonts w:ascii="Arial" w:eastAsia="Arial" w:hAnsi="Arial" w:cs="Arial"/>
          <w:b/>
          <w:bCs/>
          <w:color w:val="0B0C0C"/>
          <w:sz w:val="22"/>
          <w:szCs w:val="22"/>
          <w:u w:val="single"/>
        </w:rPr>
        <w:t>Accountability</w:t>
      </w:r>
    </w:p>
    <w:p w14:paraId="0443B8ED" w14:textId="77777777" w:rsidR="00404B02" w:rsidRPr="00B152B5" w:rsidRDefault="00404B02" w:rsidP="00404B02">
      <w:pPr>
        <w:pStyle w:val="ListParagraph"/>
        <w:shd w:val="clear" w:color="auto" w:fill="FFFFFF" w:themeFill="background1"/>
        <w:spacing w:after="0"/>
        <w:ind w:left="300"/>
        <w:rPr>
          <w:rFonts w:ascii="Arial" w:eastAsia="Arial" w:hAnsi="Arial" w:cs="Arial"/>
          <w:color w:val="0B0C0C"/>
          <w:sz w:val="22"/>
          <w:szCs w:val="22"/>
        </w:rPr>
      </w:pPr>
    </w:p>
    <w:p w14:paraId="351A0456" w14:textId="6F20DCDC" w:rsidR="00404B02" w:rsidRPr="00B152B5" w:rsidRDefault="00404B02" w:rsidP="00404B02">
      <w:pPr>
        <w:shd w:val="clear" w:color="auto" w:fill="FFFFFF" w:themeFill="background1"/>
        <w:spacing w:after="300"/>
        <w:rPr>
          <w:sz w:val="22"/>
          <w:szCs w:val="22"/>
        </w:rPr>
      </w:pPr>
      <w:r w:rsidRPr="00B152B5">
        <w:rPr>
          <w:rFonts w:ascii="Arial" w:eastAsia="Arial" w:hAnsi="Arial" w:cs="Arial"/>
          <w:color w:val="0B0C0C"/>
          <w:sz w:val="22"/>
          <w:szCs w:val="22"/>
        </w:rPr>
        <w:t xml:space="preserve">A short questionnaire will be issued by the DfE to Local authorities at the end of the </w:t>
      </w:r>
      <w:r w:rsidR="00944816">
        <w:rPr>
          <w:rFonts w:ascii="Arial" w:eastAsia="Arial" w:hAnsi="Arial" w:cs="Arial"/>
          <w:color w:val="0B0C0C"/>
          <w:sz w:val="22"/>
          <w:szCs w:val="22"/>
        </w:rPr>
        <w:t>2026-</w:t>
      </w:r>
      <w:r w:rsidRPr="00B152B5">
        <w:rPr>
          <w:rFonts w:ascii="Arial" w:eastAsia="Arial" w:hAnsi="Arial" w:cs="Arial"/>
          <w:color w:val="0B0C0C"/>
          <w:sz w:val="22"/>
          <w:szCs w:val="22"/>
        </w:rPr>
        <w:t>27 financial year.</w:t>
      </w:r>
    </w:p>
    <w:p w14:paraId="42251F79" w14:textId="77777777" w:rsidR="00404B02" w:rsidRPr="00B152B5" w:rsidRDefault="00404B02" w:rsidP="00404B02">
      <w:pPr>
        <w:shd w:val="clear" w:color="auto" w:fill="FFFFFF" w:themeFill="background1"/>
        <w:spacing w:after="300"/>
        <w:rPr>
          <w:sz w:val="22"/>
          <w:szCs w:val="22"/>
        </w:rPr>
      </w:pPr>
      <w:r w:rsidRPr="00B152B5">
        <w:rPr>
          <w:rFonts w:ascii="Arial" w:eastAsia="Arial" w:hAnsi="Arial" w:cs="Arial"/>
          <w:color w:val="0B0C0C"/>
          <w:sz w:val="22"/>
          <w:szCs w:val="22"/>
        </w:rPr>
        <w:t>The questionnaire will request high-level summaries from local authorities including:</w:t>
      </w:r>
    </w:p>
    <w:p w14:paraId="253542B2" w14:textId="77777777" w:rsidR="00404B02" w:rsidRPr="00B152B5" w:rsidRDefault="00404B02" w:rsidP="00404B02">
      <w:pPr>
        <w:pStyle w:val="ListParagraph"/>
        <w:numPr>
          <w:ilvl w:val="0"/>
          <w:numId w:val="1"/>
        </w:numPr>
        <w:shd w:val="clear" w:color="auto" w:fill="FFFFFF" w:themeFill="background1"/>
        <w:spacing w:after="0"/>
        <w:ind w:left="300"/>
        <w:rPr>
          <w:rFonts w:ascii="Arial" w:eastAsia="Arial" w:hAnsi="Arial" w:cs="Arial"/>
          <w:color w:val="0B0C0C"/>
          <w:sz w:val="22"/>
          <w:szCs w:val="22"/>
        </w:rPr>
      </w:pPr>
      <w:r w:rsidRPr="00B152B5">
        <w:rPr>
          <w:rFonts w:ascii="Arial" w:eastAsia="Arial" w:hAnsi="Arial" w:cs="Arial"/>
          <w:color w:val="0B0C0C"/>
          <w:sz w:val="22"/>
          <w:szCs w:val="22"/>
        </w:rPr>
        <w:t>the approach taken to allocate funding, including average amounts per provider and the proportion of providers funded</w:t>
      </w:r>
    </w:p>
    <w:p w14:paraId="074C630F" w14:textId="77777777" w:rsidR="00404B02" w:rsidRPr="00B152B5" w:rsidRDefault="00404B02" w:rsidP="00404B02">
      <w:pPr>
        <w:pStyle w:val="ListParagraph"/>
        <w:numPr>
          <w:ilvl w:val="0"/>
          <w:numId w:val="1"/>
        </w:numPr>
        <w:shd w:val="clear" w:color="auto" w:fill="FFFFFF" w:themeFill="background1"/>
        <w:spacing w:after="0"/>
        <w:ind w:left="300"/>
        <w:rPr>
          <w:rFonts w:ascii="Arial" w:eastAsia="Arial" w:hAnsi="Arial" w:cs="Arial"/>
          <w:color w:val="0B0C0C"/>
          <w:sz w:val="22"/>
          <w:szCs w:val="22"/>
        </w:rPr>
      </w:pPr>
      <w:r w:rsidRPr="00B152B5">
        <w:rPr>
          <w:rFonts w:ascii="Arial" w:eastAsia="Arial" w:hAnsi="Arial" w:cs="Arial"/>
          <w:color w:val="0B0C0C"/>
          <w:sz w:val="22"/>
          <w:szCs w:val="22"/>
        </w:rPr>
        <w:t>the typical ways in which providers have used the fund</w:t>
      </w:r>
    </w:p>
    <w:p w14:paraId="1880F95D" w14:textId="77777777" w:rsidR="00404B02" w:rsidRPr="00B152B5" w:rsidRDefault="00404B02" w:rsidP="00404B02">
      <w:pPr>
        <w:pStyle w:val="ListParagraph"/>
        <w:numPr>
          <w:ilvl w:val="0"/>
          <w:numId w:val="1"/>
        </w:numPr>
        <w:shd w:val="clear" w:color="auto" w:fill="FFFFFF" w:themeFill="background1"/>
        <w:spacing w:after="0"/>
        <w:ind w:left="300"/>
        <w:rPr>
          <w:rFonts w:ascii="Arial" w:eastAsia="Arial" w:hAnsi="Arial" w:cs="Arial"/>
          <w:color w:val="0B0C0C"/>
          <w:sz w:val="22"/>
          <w:szCs w:val="22"/>
        </w:rPr>
      </w:pPr>
      <w:r w:rsidRPr="00B152B5">
        <w:rPr>
          <w:rFonts w:ascii="Arial" w:eastAsia="Arial" w:hAnsi="Arial" w:cs="Arial"/>
          <w:color w:val="0B0C0C"/>
          <w:sz w:val="22"/>
          <w:szCs w:val="22"/>
        </w:rPr>
        <w:t>how the fund has contributed to mainstream inclusion in early years settings</w:t>
      </w:r>
    </w:p>
    <w:p w14:paraId="26EB2021" w14:textId="77777777" w:rsidR="00404B02" w:rsidRPr="00B152B5" w:rsidRDefault="00404B02" w:rsidP="00404B02">
      <w:pPr>
        <w:pStyle w:val="ListParagraph"/>
        <w:numPr>
          <w:ilvl w:val="0"/>
          <w:numId w:val="1"/>
        </w:numPr>
        <w:shd w:val="clear" w:color="auto" w:fill="FFFFFF" w:themeFill="background1"/>
        <w:spacing w:after="0"/>
        <w:ind w:left="300"/>
        <w:rPr>
          <w:rFonts w:ascii="Arial" w:eastAsia="Arial" w:hAnsi="Arial" w:cs="Arial"/>
          <w:color w:val="0B0C0C"/>
          <w:sz w:val="22"/>
          <w:szCs w:val="22"/>
        </w:rPr>
      </w:pPr>
      <w:r w:rsidRPr="00B152B5">
        <w:rPr>
          <w:rFonts w:ascii="Arial" w:eastAsia="Arial" w:hAnsi="Arial" w:cs="Arial"/>
          <w:color w:val="0B0C0C"/>
          <w:sz w:val="22"/>
          <w:szCs w:val="22"/>
        </w:rPr>
        <w:t>the mechanisms the local authority has used to ensure compliance.</w:t>
      </w:r>
    </w:p>
    <w:p w14:paraId="253C666F" w14:textId="77777777" w:rsidR="00404B02" w:rsidRPr="00B152B5" w:rsidRDefault="00404B02" w:rsidP="00404B02">
      <w:pPr>
        <w:pStyle w:val="ListParagraph"/>
        <w:shd w:val="clear" w:color="auto" w:fill="FFFFFF" w:themeFill="background1"/>
        <w:spacing w:after="0"/>
        <w:ind w:left="300"/>
        <w:rPr>
          <w:rFonts w:ascii="Arial" w:eastAsia="Arial" w:hAnsi="Arial" w:cs="Arial"/>
          <w:color w:val="0B0C0C"/>
          <w:sz w:val="22"/>
          <w:szCs w:val="22"/>
        </w:rPr>
      </w:pPr>
    </w:p>
    <w:p w14:paraId="19327F00" w14:textId="77777777" w:rsidR="00404B02" w:rsidRPr="00B152B5" w:rsidRDefault="00404B02" w:rsidP="00404B02">
      <w:pPr>
        <w:shd w:val="clear" w:color="auto" w:fill="FFFFFF" w:themeFill="background1"/>
        <w:spacing w:after="300"/>
        <w:rPr>
          <w:sz w:val="22"/>
          <w:szCs w:val="22"/>
        </w:rPr>
      </w:pPr>
      <w:r w:rsidRPr="00B152B5">
        <w:rPr>
          <w:rFonts w:ascii="Arial" w:eastAsia="Arial" w:hAnsi="Arial" w:cs="Arial"/>
          <w:color w:val="0B0C0C"/>
          <w:sz w:val="22"/>
          <w:szCs w:val="22"/>
        </w:rPr>
        <w:t>Full details will be confirmed in the additional guidance to be issued later in 2026.</w:t>
      </w:r>
    </w:p>
    <w:p w14:paraId="703A2BA0" w14:textId="5DA6E098" w:rsidR="00AE0BBC" w:rsidRDefault="00AE0BBC" w:rsidP="551DBBB0">
      <w:pPr>
        <w:rPr>
          <w:b/>
          <w:bCs/>
          <w:sz w:val="22"/>
          <w:szCs w:val="22"/>
          <w:u w:val="single"/>
        </w:rPr>
      </w:pPr>
      <w:r w:rsidRPr="00AE0BBC">
        <w:rPr>
          <w:b/>
          <w:bCs/>
          <w:sz w:val="22"/>
          <w:szCs w:val="22"/>
          <w:u w:val="single"/>
        </w:rPr>
        <w:lastRenderedPageBreak/>
        <w:t xml:space="preserve">Allocations </w:t>
      </w:r>
    </w:p>
    <w:p w14:paraId="4226C7A0" w14:textId="36B384DD" w:rsidR="001150DA" w:rsidRPr="001150DA" w:rsidRDefault="001150DA" w:rsidP="551DBBB0">
      <w:pPr>
        <w:rPr>
          <w:sz w:val="22"/>
          <w:szCs w:val="22"/>
        </w:rPr>
      </w:pPr>
      <w:r w:rsidRPr="001150DA">
        <w:rPr>
          <w:sz w:val="22"/>
          <w:szCs w:val="22"/>
        </w:rPr>
        <w:t>The DfE are allocating the funding based on 3 and 4-year-old universal hours PTEs because, as a universal offer, this represents a full cohort of children and there is an increased likelihood of identifiable SEND needs emerging at this age. However, while the DfE recommends the funding is distributed based on 3 and 4-year-old universal entitlement PTE numbers, the funding is intended to benefit children across the setting as a whole.</w:t>
      </w:r>
    </w:p>
    <w:p w14:paraId="6786B193" w14:textId="167B1182" w:rsidR="7D7B76B0" w:rsidRPr="00B152B5" w:rsidRDefault="7D7B76B0" w:rsidP="551DBBB0">
      <w:pPr>
        <w:rPr>
          <w:sz w:val="22"/>
          <w:szCs w:val="22"/>
        </w:rPr>
      </w:pPr>
      <w:r w:rsidRPr="7AEE37EA">
        <w:rPr>
          <w:sz w:val="22"/>
          <w:szCs w:val="22"/>
        </w:rPr>
        <w:t>A similar formula</w:t>
      </w:r>
      <w:r w:rsidR="7F26E360" w:rsidRPr="7AEE37EA">
        <w:rPr>
          <w:sz w:val="22"/>
          <w:szCs w:val="22"/>
        </w:rPr>
        <w:t xml:space="preserve"> to the EYNFF</w:t>
      </w:r>
      <w:r w:rsidRPr="7AEE37EA">
        <w:rPr>
          <w:sz w:val="22"/>
          <w:szCs w:val="22"/>
        </w:rPr>
        <w:t xml:space="preserve"> has been used to calculate </w:t>
      </w:r>
      <w:r w:rsidR="02AB98B3" w:rsidRPr="7AEE37EA">
        <w:rPr>
          <w:sz w:val="22"/>
          <w:szCs w:val="22"/>
        </w:rPr>
        <w:t>I</w:t>
      </w:r>
      <w:r w:rsidRPr="7AEE37EA">
        <w:rPr>
          <w:sz w:val="22"/>
          <w:szCs w:val="22"/>
        </w:rPr>
        <w:t>EYF</w:t>
      </w:r>
      <w:r w:rsidR="00005283" w:rsidRPr="7AEE37EA">
        <w:rPr>
          <w:sz w:val="22"/>
          <w:szCs w:val="22"/>
        </w:rPr>
        <w:t xml:space="preserve"> allocations</w:t>
      </w:r>
      <w:r w:rsidR="00AE0BBC">
        <w:rPr>
          <w:sz w:val="22"/>
          <w:szCs w:val="22"/>
        </w:rPr>
        <w:t xml:space="preserve"> to Local Authorities</w:t>
      </w:r>
      <w:r w:rsidR="00137E77" w:rsidRPr="7AEE37EA">
        <w:rPr>
          <w:sz w:val="22"/>
          <w:szCs w:val="22"/>
        </w:rPr>
        <w:t>:</w:t>
      </w:r>
    </w:p>
    <w:tbl>
      <w:tblPr>
        <w:tblStyle w:val="TableGrid"/>
        <w:tblW w:w="0" w:type="auto"/>
        <w:tblLook w:val="06A0" w:firstRow="1" w:lastRow="0" w:firstColumn="1" w:lastColumn="0" w:noHBand="1" w:noVBand="1"/>
      </w:tblPr>
      <w:tblGrid>
        <w:gridCol w:w="3404"/>
        <w:gridCol w:w="1104"/>
        <w:gridCol w:w="3558"/>
        <w:gridCol w:w="950"/>
      </w:tblGrid>
      <w:tr w:rsidR="551DBBB0" w:rsidRPr="00B152B5" w14:paraId="6A31D151" w14:textId="77777777" w:rsidTr="7AEE37EA">
        <w:trPr>
          <w:trHeight w:val="300"/>
        </w:trPr>
        <w:tc>
          <w:tcPr>
            <w:tcW w:w="4508" w:type="dxa"/>
            <w:gridSpan w:val="2"/>
          </w:tcPr>
          <w:p w14:paraId="7B5F6B63" w14:textId="4C13DF8C" w:rsidR="63B64998" w:rsidRPr="00B152B5" w:rsidRDefault="63B64998" w:rsidP="551DBBB0">
            <w:pPr>
              <w:jc w:val="center"/>
              <w:rPr>
                <w:b/>
                <w:bCs/>
                <w:sz w:val="22"/>
                <w:szCs w:val="22"/>
                <w:u w:val="single"/>
              </w:rPr>
            </w:pPr>
            <w:r w:rsidRPr="00B152B5">
              <w:rPr>
                <w:b/>
                <w:bCs/>
                <w:sz w:val="22"/>
                <w:szCs w:val="22"/>
                <w:u w:val="single"/>
              </w:rPr>
              <w:t>EYNFF</w:t>
            </w:r>
          </w:p>
          <w:p w14:paraId="08C1A608" w14:textId="48FA2BB2" w:rsidR="63B64998" w:rsidRPr="00B152B5" w:rsidRDefault="63B64998" w:rsidP="551DBBB0">
            <w:pPr>
              <w:jc w:val="center"/>
              <w:rPr>
                <w:b/>
                <w:bCs/>
                <w:sz w:val="22"/>
                <w:szCs w:val="22"/>
              </w:rPr>
            </w:pPr>
            <w:r w:rsidRPr="00B152B5">
              <w:rPr>
                <w:b/>
                <w:bCs/>
                <w:sz w:val="22"/>
                <w:szCs w:val="22"/>
              </w:rPr>
              <w:t>Early Years National Funding Formula</w:t>
            </w:r>
          </w:p>
        </w:tc>
        <w:tc>
          <w:tcPr>
            <w:tcW w:w="4508" w:type="dxa"/>
            <w:gridSpan w:val="2"/>
          </w:tcPr>
          <w:p w14:paraId="383C506C" w14:textId="7C2595DE" w:rsidR="63B64998" w:rsidRPr="00B152B5" w:rsidRDefault="0F2EADC8" w:rsidP="551DBBB0">
            <w:pPr>
              <w:jc w:val="center"/>
            </w:pPr>
            <w:r w:rsidRPr="7AEE37EA">
              <w:rPr>
                <w:b/>
                <w:bCs/>
                <w:sz w:val="22"/>
                <w:szCs w:val="22"/>
                <w:u w:val="single"/>
              </w:rPr>
              <w:t>IEYF</w:t>
            </w:r>
          </w:p>
          <w:p w14:paraId="1E1002EF" w14:textId="4533F4F4" w:rsidR="63B64998" w:rsidRPr="00B152B5" w:rsidRDefault="63B64998" w:rsidP="551DBBB0">
            <w:pPr>
              <w:jc w:val="center"/>
              <w:rPr>
                <w:b/>
                <w:bCs/>
                <w:sz w:val="22"/>
                <w:szCs w:val="22"/>
              </w:rPr>
            </w:pPr>
            <w:r w:rsidRPr="00B152B5">
              <w:rPr>
                <w:b/>
                <w:bCs/>
                <w:sz w:val="22"/>
                <w:szCs w:val="22"/>
              </w:rPr>
              <w:t>Early Years Inclusion Fund</w:t>
            </w:r>
          </w:p>
        </w:tc>
      </w:tr>
      <w:tr w:rsidR="551DBBB0" w:rsidRPr="00B152B5" w14:paraId="2A04196E" w14:textId="77777777" w:rsidTr="7AEE37EA">
        <w:trPr>
          <w:trHeight w:val="300"/>
        </w:trPr>
        <w:tc>
          <w:tcPr>
            <w:tcW w:w="3404" w:type="dxa"/>
          </w:tcPr>
          <w:p w14:paraId="474DE299" w14:textId="2A036763" w:rsidR="63B64998" w:rsidRPr="00B152B5" w:rsidRDefault="63B64998" w:rsidP="551DBBB0">
            <w:pPr>
              <w:rPr>
                <w:sz w:val="22"/>
                <w:szCs w:val="22"/>
              </w:rPr>
            </w:pPr>
            <w:r w:rsidRPr="00B152B5">
              <w:rPr>
                <w:sz w:val="22"/>
                <w:szCs w:val="22"/>
              </w:rPr>
              <w:t>Base Factor</w:t>
            </w:r>
          </w:p>
        </w:tc>
        <w:tc>
          <w:tcPr>
            <w:tcW w:w="1104" w:type="dxa"/>
          </w:tcPr>
          <w:p w14:paraId="38B1D488" w14:textId="111BECD1" w:rsidR="63B64998" w:rsidRPr="00B152B5" w:rsidRDefault="63B64998" w:rsidP="551DBBB0">
            <w:pPr>
              <w:rPr>
                <w:sz w:val="22"/>
                <w:szCs w:val="22"/>
              </w:rPr>
            </w:pPr>
            <w:r w:rsidRPr="00B152B5">
              <w:rPr>
                <w:sz w:val="22"/>
                <w:szCs w:val="22"/>
              </w:rPr>
              <w:t>75%</w:t>
            </w:r>
          </w:p>
        </w:tc>
        <w:tc>
          <w:tcPr>
            <w:tcW w:w="3558" w:type="dxa"/>
          </w:tcPr>
          <w:p w14:paraId="3CEAD666" w14:textId="5F699E8E" w:rsidR="63B64998" w:rsidRPr="00B152B5" w:rsidRDefault="63B64998" w:rsidP="551DBBB0">
            <w:pPr>
              <w:rPr>
                <w:sz w:val="22"/>
                <w:szCs w:val="22"/>
              </w:rPr>
            </w:pPr>
            <w:r w:rsidRPr="00B152B5">
              <w:rPr>
                <w:sz w:val="22"/>
                <w:szCs w:val="22"/>
              </w:rPr>
              <w:t>Base entitlement</w:t>
            </w:r>
          </w:p>
        </w:tc>
        <w:tc>
          <w:tcPr>
            <w:tcW w:w="950" w:type="dxa"/>
          </w:tcPr>
          <w:p w14:paraId="47D0C54A" w14:textId="217FB0CC" w:rsidR="63B64998" w:rsidRPr="00B152B5" w:rsidRDefault="63B64998" w:rsidP="551DBBB0">
            <w:pPr>
              <w:rPr>
                <w:sz w:val="22"/>
                <w:szCs w:val="22"/>
              </w:rPr>
            </w:pPr>
            <w:r w:rsidRPr="00B152B5">
              <w:rPr>
                <w:sz w:val="22"/>
                <w:szCs w:val="22"/>
              </w:rPr>
              <w:t>75%</w:t>
            </w:r>
          </w:p>
        </w:tc>
      </w:tr>
      <w:tr w:rsidR="551DBBB0" w:rsidRPr="00B152B5" w14:paraId="0B16582A" w14:textId="77777777" w:rsidTr="7AEE37EA">
        <w:trPr>
          <w:trHeight w:val="300"/>
        </w:trPr>
        <w:tc>
          <w:tcPr>
            <w:tcW w:w="3404" w:type="dxa"/>
          </w:tcPr>
          <w:p w14:paraId="21AB1DA8" w14:textId="6BD67EC4" w:rsidR="63B64998" w:rsidRPr="00B152B5" w:rsidRDefault="63B64998" w:rsidP="551DBBB0">
            <w:pPr>
              <w:rPr>
                <w:sz w:val="22"/>
                <w:szCs w:val="22"/>
              </w:rPr>
            </w:pPr>
            <w:r w:rsidRPr="00B152B5">
              <w:rPr>
                <w:sz w:val="22"/>
                <w:szCs w:val="22"/>
              </w:rPr>
              <w:t>Free School Meals</w:t>
            </w:r>
          </w:p>
        </w:tc>
        <w:tc>
          <w:tcPr>
            <w:tcW w:w="1104" w:type="dxa"/>
          </w:tcPr>
          <w:p w14:paraId="06C3014D" w14:textId="0EAAB6C3" w:rsidR="63B64998" w:rsidRPr="00B152B5" w:rsidRDefault="63B64998" w:rsidP="551DBBB0">
            <w:pPr>
              <w:rPr>
                <w:sz w:val="22"/>
                <w:szCs w:val="22"/>
              </w:rPr>
            </w:pPr>
            <w:r w:rsidRPr="00B152B5">
              <w:rPr>
                <w:sz w:val="22"/>
                <w:szCs w:val="22"/>
              </w:rPr>
              <w:t>13%</w:t>
            </w:r>
          </w:p>
        </w:tc>
        <w:tc>
          <w:tcPr>
            <w:tcW w:w="3558" w:type="dxa"/>
          </w:tcPr>
          <w:p w14:paraId="7919DF49" w14:textId="02AE5874" w:rsidR="63B64998" w:rsidRPr="00B152B5" w:rsidRDefault="63B64998" w:rsidP="551DBBB0">
            <w:pPr>
              <w:rPr>
                <w:sz w:val="22"/>
                <w:szCs w:val="22"/>
              </w:rPr>
            </w:pPr>
            <w:r w:rsidRPr="00B152B5">
              <w:rPr>
                <w:sz w:val="22"/>
                <w:szCs w:val="22"/>
              </w:rPr>
              <w:t>Deprivation</w:t>
            </w:r>
          </w:p>
        </w:tc>
        <w:tc>
          <w:tcPr>
            <w:tcW w:w="950" w:type="dxa"/>
          </w:tcPr>
          <w:p w14:paraId="122F498B" w14:textId="6D73E422" w:rsidR="63B64998" w:rsidRPr="00B152B5" w:rsidRDefault="63B64998" w:rsidP="551DBBB0">
            <w:pPr>
              <w:rPr>
                <w:sz w:val="22"/>
                <w:szCs w:val="22"/>
              </w:rPr>
            </w:pPr>
            <w:r w:rsidRPr="00B152B5">
              <w:rPr>
                <w:sz w:val="22"/>
                <w:szCs w:val="22"/>
              </w:rPr>
              <w:t>25%</w:t>
            </w:r>
          </w:p>
        </w:tc>
      </w:tr>
      <w:tr w:rsidR="551DBBB0" w:rsidRPr="00B152B5" w14:paraId="0F3B826D" w14:textId="77777777" w:rsidTr="7AEE37EA">
        <w:trPr>
          <w:trHeight w:val="300"/>
        </w:trPr>
        <w:tc>
          <w:tcPr>
            <w:tcW w:w="3404" w:type="dxa"/>
          </w:tcPr>
          <w:p w14:paraId="34AC2645" w14:textId="2F1A27C9" w:rsidR="63B64998" w:rsidRPr="00B152B5" w:rsidRDefault="63B64998" w:rsidP="551DBBB0">
            <w:pPr>
              <w:rPr>
                <w:sz w:val="22"/>
                <w:szCs w:val="22"/>
              </w:rPr>
            </w:pPr>
            <w:r w:rsidRPr="00B152B5">
              <w:rPr>
                <w:sz w:val="22"/>
                <w:szCs w:val="22"/>
              </w:rPr>
              <w:t>Disability Living Allowance</w:t>
            </w:r>
          </w:p>
        </w:tc>
        <w:tc>
          <w:tcPr>
            <w:tcW w:w="1104" w:type="dxa"/>
          </w:tcPr>
          <w:p w14:paraId="60B99298" w14:textId="5ABB3328" w:rsidR="63B64998" w:rsidRPr="00B152B5" w:rsidRDefault="63B64998" w:rsidP="551DBBB0">
            <w:pPr>
              <w:rPr>
                <w:sz w:val="22"/>
                <w:szCs w:val="22"/>
              </w:rPr>
            </w:pPr>
            <w:r w:rsidRPr="00B152B5">
              <w:rPr>
                <w:sz w:val="22"/>
                <w:szCs w:val="22"/>
              </w:rPr>
              <w:t>12%</w:t>
            </w:r>
          </w:p>
        </w:tc>
        <w:tc>
          <w:tcPr>
            <w:tcW w:w="3558" w:type="dxa"/>
          </w:tcPr>
          <w:p w14:paraId="0ACF8B67" w14:textId="2A9F9398" w:rsidR="551DBBB0" w:rsidRPr="00B152B5" w:rsidRDefault="551DBBB0" w:rsidP="551DBBB0">
            <w:pPr>
              <w:rPr>
                <w:sz w:val="22"/>
                <w:szCs w:val="22"/>
              </w:rPr>
            </w:pPr>
          </w:p>
        </w:tc>
        <w:tc>
          <w:tcPr>
            <w:tcW w:w="950" w:type="dxa"/>
          </w:tcPr>
          <w:p w14:paraId="254FE445" w14:textId="49DDC886" w:rsidR="551DBBB0" w:rsidRPr="00B152B5" w:rsidRDefault="551DBBB0" w:rsidP="551DBBB0">
            <w:pPr>
              <w:rPr>
                <w:sz w:val="22"/>
                <w:szCs w:val="22"/>
              </w:rPr>
            </w:pPr>
          </w:p>
        </w:tc>
      </w:tr>
      <w:tr w:rsidR="551DBBB0" w:rsidRPr="00B152B5" w14:paraId="7E499C13" w14:textId="77777777" w:rsidTr="7AEE37EA">
        <w:trPr>
          <w:trHeight w:val="300"/>
        </w:trPr>
        <w:tc>
          <w:tcPr>
            <w:tcW w:w="3404" w:type="dxa"/>
          </w:tcPr>
          <w:p w14:paraId="7718B465" w14:textId="563E0114" w:rsidR="63B64998" w:rsidRPr="00B152B5" w:rsidRDefault="63B64998" w:rsidP="551DBBB0">
            <w:pPr>
              <w:rPr>
                <w:sz w:val="22"/>
                <w:szCs w:val="22"/>
              </w:rPr>
            </w:pPr>
            <w:r w:rsidRPr="00B152B5">
              <w:rPr>
                <w:sz w:val="22"/>
                <w:szCs w:val="22"/>
              </w:rPr>
              <w:t>TOTAL</w:t>
            </w:r>
          </w:p>
        </w:tc>
        <w:tc>
          <w:tcPr>
            <w:tcW w:w="1104" w:type="dxa"/>
          </w:tcPr>
          <w:p w14:paraId="64E2ADC6" w14:textId="17E10D3B" w:rsidR="63B64998" w:rsidRPr="00B152B5" w:rsidRDefault="63B64998" w:rsidP="551DBBB0">
            <w:pPr>
              <w:rPr>
                <w:sz w:val="22"/>
                <w:szCs w:val="22"/>
              </w:rPr>
            </w:pPr>
            <w:r w:rsidRPr="00B152B5">
              <w:rPr>
                <w:sz w:val="22"/>
                <w:szCs w:val="22"/>
              </w:rPr>
              <w:t>100%</w:t>
            </w:r>
          </w:p>
        </w:tc>
        <w:tc>
          <w:tcPr>
            <w:tcW w:w="3558" w:type="dxa"/>
          </w:tcPr>
          <w:p w14:paraId="6B984839" w14:textId="03AE6FF1" w:rsidR="63B64998" w:rsidRPr="00B152B5" w:rsidRDefault="63B64998" w:rsidP="551DBBB0">
            <w:pPr>
              <w:rPr>
                <w:sz w:val="22"/>
                <w:szCs w:val="22"/>
              </w:rPr>
            </w:pPr>
            <w:r w:rsidRPr="00B152B5">
              <w:rPr>
                <w:sz w:val="22"/>
                <w:szCs w:val="22"/>
              </w:rPr>
              <w:t>TOTAL</w:t>
            </w:r>
          </w:p>
        </w:tc>
        <w:tc>
          <w:tcPr>
            <w:tcW w:w="950" w:type="dxa"/>
          </w:tcPr>
          <w:p w14:paraId="13B40876" w14:textId="00A9CB0B" w:rsidR="63B64998" w:rsidRPr="00B152B5" w:rsidRDefault="63B64998" w:rsidP="551DBBB0">
            <w:pPr>
              <w:rPr>
                <w:sz w:val="22"/>
                <w:szCs w:val="22"/>
              </w:rPr>
            </w:pPr>
            <w:r w:rsidRPr="00B152B5">
              <w:rPr>
                <w:sz w:val="22"/>
                <w:szCs w:val="22"/>
              </w:rPr>
              <w:t>100%</w:t>
            </w:r>
          </w:p>
        </w:tc>
      </w:tr>
    </w:tbl>
    <w:p w14:paraId="64EE3E38" w14:textId="77777777" w:rsidR="009B268A" w:rsidRPr="00B152B5" w:rsidRDefault="009B268A" w:rsidP="551DBBB0">
      <w:pPr>
        <w:rPr>
          <w:b/>
          <w:bCs/>
          <w:sz w:val="22"/>
          <w:szCs w:val="22"/>
          <w:u w:val="single"/>
        </w:rPr>
      </w:pPr>
    </w:p>
    <w:p w14:paraId="51F6A051" w14:textId="28972E64" w:rsidR="65E3C40C" w:rsidRDefault="00AE0BBC" w:rsidP="551DBBB0">
      <w:pPr>
        <w:rPr>
          <w:b/>
          <w:bCs/>
          <w:sz w:val="22"/>
          <w:szCs w:val="22"/>
          <w:u w:val="single"/>
        </w:rPr>
      </w:pPr>
      <w:r>
        <w:rPr>
          <w:b/>
          <w:bCs/>
          <w:sz w:val="22"/>
          <w:szCs w:val="22"/>
          <w:u w:val="single"/>
        </w:rPr>
        <w:t xml:space="preserve">Boltons Estimated Allocation </w:t>
      </w:r>
    </w:p>
    <w:p w14:paraId="785648BB" w14:textId="12871BFB" w:rsidR="00404B02" w:rsidRPr="00B152B5" w:rsidRDefault="00404B02" w:rsidP="551DBBB0">
      <w:pPr>
        <w:rPr>
          <w:b/>
          <w:bCs/>
          <w:sz w:val="22"/>
          <w:szCs w:val="22"/>
          <w:u w:val="single"/>
        </w:rPr>
      </w:pPr>
      <w:r w:rsidRPr="00404B02">
        <w:rPr>
          <w:noProof/>
        </w:rPr>
        <w:drawing>
          <wp:inline distT="0" distB="0" distL="0" distR="0" wp14:anchorId="629E6D07" wp14:editId="03E8BC29">
            <wp:extent cx="3111500" cy="2203450"/>
            <wp:effectExtent l="0" t="0" r="0" b="6350"/>
            <wp:docPr id="20895225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11500" cy="2203450"/>
                    </a:xfrm>
                    <a:prstGeom prst="rect">
                      <a:avLst/>
                    </a:prstGeom>
                    <a:noFill/>
                    <a:ln>
                      <a:noFill/>
                    </a:ln>
                  </pic:spPr>
                </pic:pic>
              </a:graphicData>
            </a:graphic>
          </wp:inline>
        </w:drawing>
      </w:r>
    </w:p>
    <w:p w14:paraId="3E6E3E35" w14:textId="5AC5DD3B" w:rsidR="00404B02" w:rsidRPr="00404B02" w:rsidRDefault="00404B02" w:rsidP="551DBBB0">
      <w:pPr>
        <w:rPr>
          <w:sz w:val="22"/>
          <w:szCs w:val="22"/>
        </w:rPr>
      </w:pPr>
      <w:r w:rsidRPr="00404B02">
        <w:rPr>
          <w:sz w:val="22"/>
          <w:szCs w:val="22"/>
        </w:rPr>
        <w:t xml:space="preserve">The proposal is to allocate funding to providers </w:t>
      </w:r>
      <w:r>
        <w:rPr>
          <w:sz w:val="22"/>
          <w:szCs w:val="22"/>
        </w:rPr>
        <w:t>based on the Spring 2026 headcount and allocate funding 75% through universal hours and 25% through universal deprivation hours.</w:t>
      </w:r>
    </w:p>
    <w:p w14:paraId="61AB3E8A" w14:textId="7B7D479C" w:rsidR="009B268A" w:rsidRDefault="009B268A" w:rsidP="551DBBB0">
      <w:pPr>
        <w:rPr>
          <w:b/>
          <w:bCs/>
          <w:sz w:val="22"/>
          <w:szCs w:val="22"/>
        </w:rPr>
      </w:pPr>
      <w:r>
        <w:rPr>
          <w:b/>
          <w:bCs/>
          <w:sz w:val="22"/>
          <w:szCs w:val="22"/>
        </w:rPr>
        <w:t xml:space="preserve">The provisional amounts to be allocated </w:t>
      </w:r>
      <w:r w:rsidR="00944816">
        <w:rPr>
          <w:b/>
          <w:bCs/>
          <w:sz w:val="22"/>
          <w:szCs w:val="22"/>
        </w:rPr>
        <w:t>are: -</w:t>
      </w:r>
    </w:p>
    <w:p w14:paraId="39B48C37" w14:textId="2DDA43B6" w:rsidR="009B268A" w:rsidRDefault="009B268A" w:rsidP="551DBBB0">
      <w:pPr>
        <w:rPr>
          <w:b/>
          <w:bCs/>
          <w:sz w:val="22"/>
          <w:szCs w:val="22"/>
        </w:rPr>
      </w:pPr>
      <w:r>
        <w:rPr>
          <w:b/>
          <w:bCs/>
          <w:sz w:val="22"/>
          <w:szCs w:val="22"/>
        </w:rPr>
        <w:tab/>
        <w:t>27p per hour Universal Hours</w:t>
      </w:r>
      <w:r w:rsidR="00944816">
        <w:rPr>
          <w:b/>
          <w:bCs/>
          <w:sz w:val="22"/>
          <w:szCs w:val="22"/>
        </w:rPr>
        <w:t xml:space="preserve"> per the Spring 2026 headcount</w:t>
      </w:r>
    </w:p>
    <w:p w14:paraId="69E6CF93" w14:textId="01C478B6" w:rsidR="009B268A" w:rsidRDefault="009B268A" w:rsidP="551DBBB0">
      <w:pPr>
        <w:rPr>
          <w:b/>
          <w:bCs/>
          <w:sz w:val="22"/>
          <w:szCs w:val="22"/>
        </w:rPr>
      </w:pPr>
      <w:r>
        <w:rPr>
          <w:b/>
          <w:bCs/>
          <w:sz w:val="22"/>
          <w:szCs w:val="22"/>
        </w:rPr>
        <w:tab/>
        <w:t xml:space="preserve">16p per hour Universal Deprivation Hours </w:t>
      </w:r>
      <w:r w:rsidR="00944816">
        <w:rPr>
          <w:b/>
          <w:bCs/>
          <w:sz w:val="22"/>
          <w:szCs w:val="22"/>
        </w:rPr>
        <w:t>per the Spring 2026 headcount</w:t>
      </w:r>
    </w:p>
    <w:p w14:paraId="37A5F48F" w14:textId="2EE0BF43" w:rsidR="00404B02" w:rsidRDefault="00944816" w:rsidP="551DBBB0">
      <w:pPr>
        <w:rPr>
          <w:sz w:val="22"/>
          <w:szCs w:val="22"/>
        </w:rPr>
      </w:pPr>
      <w:r>
        <w:rPr>
          <w:sz w:val="22"/>
          <w:szCs w:val="22"/>
        </w:rPr>
        <w:t>An analysis of t</w:t>
      </w:r>
      <w:r w:rsidR="009B268A" w:rsidRPr="009B268A">
        <w:rPr>
          <w:sz w:val="22"/>
          <w:szCs w:val="22"/>
        </w:rPr>
        <w:t>he estimated allocations</w:t>
      </w:r>
      <w:r>
        <w:rPr>
          <w:sz w:val="22"/>
          <w:szCs w:val="22"/>
        </w:rPr>
        <w:t xml:space="preserve"> is set out below</w:t>
      </w:r>
      <w:r w:rsidR="009B268A">
        <w:rPr>
          <w:sz w:val="22"/>
          <w:szCs w:val="22"/>
        </w:rPr>
        <w:t>: -</w:t>
      </w:r>
    </w:p>
    <w:p w14:paraId="513FC29D" w14:textId="119C2514" w:rsidR="009B268A" w:rsidRDefault="00944816" w:rsidP="009B268A">
      <w:pPr>
        <w:pStyle w:val="ListParagraph"/>
        <w:numPr>
          <w:ilvl w:val="0"/>
          <w:numId w:val="8"/>
        </w:numPr>
        <w:rPr>
          <w:sz w:val="22"/>
          <w:szCs w:val="22"/>
        </w:rPr>
      </w:pPr>
      <w:r>
        <w:rPr>
          <w:sz w:val="22"/>
          <w:szCs w:val="22"/>
        </w:rPr>
        <w:t>t</w:t>
      </w:r>
      <w:r w:rsidR="009B268A">
        <w:rPr>
          <w:sz w:val="22"/>
          <w:szCs w:val="22"/>
        </w:rPr>
        <w:t>he lowest allocation is £19</w:t>
      </w:r>
    </w:p>
    <w:p w14:paraId="4662F688" w14:textId="7DE1D746" w:rsidR="009B268A" w:rsidRDefault="00944816" w:rsidP="009B268A">
      <w:pPr>
        <w:pStyle w:val="ListParagraph"/>
        <w:numPr>
          <w:ilvl w:val="0"/>
          <w:numId w:val="8"/>
        </w:numPr>
        <w:rPr>
          <w:sz w:val="22"/>
          <w:szCs w:val="22"/>
        </w:rPr>
      </w:pPr>
      <w:r>
        <w:rPr>
          <w:sz w:val="22"/>
          <w:szCs w:val="22"/>
        </w:rPr>
        <w:t>t</w:t>
      </w:r>
      <w:r w:rsidR="009B268A">
        <w:rPr>
          <w:sz w:val="22"/>
          <w:szCs w:val="22"/>
        </w:rPr>
        <w:t>he highest allocation is £6,109</w:t>
      </w:r>
    </w:p>
    <w:p w14:paraId="0C749984" w14:textId="68DE20E4" w:rsidR="009B268A" w:rsidRDefault="00944816" w:rsidP="009B268A">
      <w:pPr>
        <w:pStyle w:val="ListParagraph"/>
        <w:numPr>
          <w:ilvl w:val="0"/>
          <w:numId w:val="8"/>
        </w:numPr>
        <w:rPr>
          <w:sz w:val="22"/>
          <w:szCs w:val="22"/>
        </w:rPr>
      </w:pPr>
      <w:r>
        <w:rPr>
          <w:sz w:val="22"/>
          <w:szCs w:val="22"/>
        </w:rPr>
        <w:t>t</w:t>
      </w:r>
      <w:r w:rsidR="009B268A">
        <w:rPr>
          <w:sz w:val="22"/>
          <w:szCs w:val="22"/>
        </w:rPr>
        <w:t xml:space="preserve">here are 57 settings receiving less than £500 </w:t>
      </w:r>
    </w:p>
    <w:p w14:paraId="1BFB1A1F" w14:textId="0526406C" w:rsidR="009B268A" w:rsidRDefault="009B268A" w:rsidP="009B268A">
      <w:pPr>
        <w:pStyle w:val="ListParagraph"/>
        <w:numPr>
          <w:ilvl w:val="1"/>
          <w:numId w:val="8"/>
        </w:numPr>
        <w:rPr>
          <w:sz w:val="22"/>
          <w:szCs w:val="22"/>
        </w:rPr>
      </w:pPr>
      <w:r>
        <w:rPr>
          <w:sz w:val="22"/>
          <w:szCs w:val="22"/>
        </w:rPr>
        <w:t>The majority of these are childminders</w:t>
      </w:r>
    </w:p>
    <w:p w14:paraId="6209A0AE" w14:textId="2DE7B71C" w:rsidR="009B268A" w:rsidRDefault="00944816" w:rsidP="009B268A">
      <w:pPr>
        <w:pStyle w:val="ListParagraph"/>
        <w:numPr>
          <w:ilvl w:val="0"/>
          <w:numId w:val="8"/>
        </w:numPr>
        <w:rPr>
          <w:sz w:val="22"/>
          <w:szCs w:val="22"/>
        </w:rPr>
      </w:pPr>
      <w:r>
        <w:rPr>
          <w:sz w:val="22"/>
          <w:szCs w:val="22"/>
        </w:rPr>
        <w:t>t</w:t>
      </w:r>
      <w:r w:rsidR="009B268A">
        <w:rPr>
          <w:sz w:val="22"/>
          <w:szCs w:val="22"/>
        </w:rPr>
        <w:t xml:space="preserve">here are 12 settings receiving between £500 and £1,000 </w:t>
      </w:r>
    </w:p>
    <w:p w14:paraId="2513F78A" w14:textId="19842424" w:rsidR="009B268A" w:rsidRPr="009B268A" w:rsidRDefault="00944816" w:rsidP="009B268A">
      <w:pPr>
        <w:pStyle w:val="ListParagraph"/>
        <w:numPr>
          <w:ilvl w:val="0"/>
          <w:numId w:val="8"/>
        </w:numPr>
        <w:rPr>
          <w:sz w:val="22"/>
          <w:szCs w:val="22"/>
        </w:rPr>
      </w:pPr>
      <w:r>
        <w:rPr>
          <w:sz w:val="22"/>
          <w:szCs w:val="22"/>
        </w:rPr>
        <w:t>t</w:t>
      </w:r>
      <w:r w:rsidR="009B268A">
        <w:rPr>
          <w:sz w:val="22"/>
          <w:szCs w:val="22"/>
        </w:rPr>
        <w:t>here are 118 settings receiving over £1,000</w:t>
      </w:r>
    </w:p>
    <w:p w14:paraId="77779F5F" w14:textId="57C95B0C" w:rsidR="551DBBB0" w:rsidRPr="00B152B5" w:rsidRDefault="551DBBB0" w:rsidP="551DBBB0">
      <w:pPr>
        <w:rPr>
          <w:sz w:val="22"/>
          <w:szCs w:val="22"/>
        </w:rPr>
      </w:pPr>
    </w:p>
    <w:sectPr w:rsidR="551DBBB0" w:rsidRPr="00B152B5">
      <w:headerReference w:type="default" r:id="rId8"/>
      <w:footerReference w:type="default" r:id="rId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B3F54" w14:textId="77777777" w:rsidR="0076719E" w:rsidRDefault="0076719E">
      <w:pPr>
        <w:spacing w:after="0" w:line="240" w:lineRule="auto"/>
      </w:pPr>
      <w:r>
        <w:separator/>
      </w:r>
    </w:p>
  </w:endnote>
  <w:endnote w:type="continuationSeparator" w:id="0">
    <w:p w14:paraId="6D884BE5" w14:textId="77777777" w:rsidR="0076719E" w:rsidRDefault="007671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551DBBB0" w14:paraId="6B91C231" w14:textId="77777777" w:rsidTr="551DBBB0">
      <w:trPr>
        <w:trHeight w:val="300"/>
      </w:trPr>
      <w:tc>
        <w:tcPr>
          <w:tcW w:w="3005" w:type="dxa"/>
        </w:tcPr>
        <w:p w14:paraId="003460DB" w14:textId="39E606B7" w:rsidR="551DBBB0" w:rsidRDefault="551DBBB0" w:rsidP="551DBBB0">
          <w:pPr>
            <w:pStyle w:val="Header"/>
            <w:ind w:left="-115"/>
          </w:pPr>
        </w:p>
      </w:tc>
      <w:tc>
        <w:tcPr>
          <w:tcW w:w="3005" w:type="dxa"/>
        </w:tcPr>
        <w:p w14:paraId="1D510B19" w14:textId="2C3FDA1E" w:rsidR="551DBBB0" w:rsidRDefault="551DBBB0" w:rsidP="551DBBB0">
          <w:pPr>
            <w:pStyle w:val="Header"/>
            <w:jc w:val="center"/>
          </w:pPr>
        </w:p>
      </w:tc>
      <w:tc>
        <w:tcPr>
          <w:tcW w:w="3005" w:type="dxa"/>
        </w:tcPr>
        <w:p w14:paraId="4C19AD08" w14:textId="21514D4F" w:rsidR="551DBBB0" w:rsidRDefault="551DBBB0" w:rsidP="551DBBB0">
          <w:pPr>
            <w:pStyle w:val="Header"/>
            <w:ind w:right="-115"/>
            <w:jc w:val="right"/>
          </w:pPr>
        </w:p>
      </w:tc>
    </w:tr>
  </w:tbl>
  <w:p w14:paraId="41204F72" w14:textId="66139DE3" w:rsidR="551DBBB0" w:rsidRDefault="551DBBB0" w:rsidP="551DBB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A4273" w14:textId="77777777" w:rsidR="0076719E" w:rsidRDefault="0076719E">
      <w:pPr>
        <w:spacing w:after="0" w:line="240" w:lineRule="auto"/>
      </w:pPr>
      <w:r>
        <w:separator/>
      </w:r>
    </w:p>
  </w:footnote>
  <w:footnote w:type="continuationSeparator" w:id="0">
    <w:p w14:paraId="7045EBBF" w14:textId="77777777" w:rsidR="0076719E" w:rsidRDefault="007671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551DBBB0" w14:paraId="19D7D7AF" w14:textId="77777777" w:rsidTr="551DBBB0">
      <w:trPr>
        <w:trHeight w:val="300"/>
      </w:trPr>
      <w:tc>
        <w:tcPr>
          <w:tcW w:w="3005" w:type="dxa"/>
        </w:tcPr>
        <w:p w14:paraId="6073DE75" w14:textId="3E96AE10" w:rsidR="551DBBB0" w:rsidRDefault="551DBBB0" w:rsidP="551DBBB0">
          <w:pPr>
            <w:pStyle w:val="Header"/>
            <w:ind w:left="-115"/>
          </w:pPr>
        </w:p>
      </w:tc>
      <w:tc>
        <w:tcPr>
          <w:tcW w:w="3005" w:type="dxa"/>
        </w:tcPr>
        <w:p w14:paraId="27140FE7" w14:textId="7261A959" w:rsidR="551DBBB0" w:rsidRDefault="551DBBB0" w:rsidP="551DBBB0">
          <w:pPr>
            <w:pStyle w:val="Header"/>
            <w:jc w:val="center"/>
          </w:pPr>
        </w:p>
      </w:tc>
      <w:tc>
        <w:tcPr>
          <w:tcW w:w="3005" w:type="dxa"/>
        </w:tcPr>
        <w:p w14:paraId="60B52348" w14:textId="261C017F" w:rsidR="551DBBB0" w:rsidRDefault="551DBBB0" w:rsidP="551DBBB0">
          <w:pPr>
            <w:pStyle w:val="Header"/>
            <w:ind w:right="-115"/>
            <w:jc w:val="right"/>
          </w:pPr>
        </w:p>
      </w:tc>
    </w:tr>
  </w:tbl>
  <w:p w14:paraId="5A05BB2A" w14:textId="15ADD04B" w:rsidR="551DBBB0" w:rsidRDefault="551DBBB0" w:rsidP="551DBB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BE1849"/>
    <w:multiLevelType w:val="hybridMultilevel"/>
    <w:tmpl w:val="BBAEA108"/>
    <w:lvl w:ilvl="0" w:tplc="2CA29B64">
      <w:numFmt w:val="bullet"/>
      <w:lvlText w:val="-"/>
      <w:lvlJc w:val="left"/>
      <w:pPr>
        <w:ind w:left="720" w:hanging="360"/>
      </w:pPr>
      <w:rPr>
        <w:rFonts w:ascii="Arial" w:eastAsia="Arial"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E14E20"/>
    <w:multiLevelType w:val="hybridMultilevel"/>
    <w:tmpl w:val="FC561832"/>
    <w:lvl w:ilvl="0" w:tplc="96F837F4">
      <w:start w:val="1"/>
      <w:numFmt w:val="bullet"/>
      <w:lvlText w:val=""/>
      <w:lvlJc w:val="left"/>
      <w:pPr>
        <w:ind w:left="720" w:hanging="360"/>
      </w:pPr>
      <w:rPr>
        <w:rFonts w:ascii="Symbol" w:hAnsi="Symbol" w:hint="default"/>
      </w:rPr>
    </w:lvl>
    <w:lvl w:ilvl="1" w:tplc="FF5C0D46">
      <w:start w:val="1"/>
      <w:numFmt w:val="bullet"/>
      <w:lvlText w:val="o"/>
      <w:lvlJc w:val="left"/>
      <w:pPr>
        <w:ind w:left="1440" w:hanging="360"/>
      </w:pPr>
      <w:rPr>
        <w:rFonts w:ascii="Courier New" w:hAnsi="Courier New" w:hint="default"/>
      </w:rPr>
    </w:lvl>
    <w:lvl w:ilvl="2" w:tplc="95AC9570">
      <w:start w:val="1"/>
      <w:numFmt w:val="bullet"/>
      <w:lvlText w:val=""/>
      <w:lvlJc w:val="left"/>
      <w:pPr>
        <w:ind w:left="2160" w:hanging="360"/>
      </w:pPr>
      <w:rPr>
        <w:rFonts w:ascii="Wingdings" w:hAnsi="Wingdings" w:hint="default"/>
      </w:rPr>
    </w:lvl>
    <w:lvl w:ilvl="3" w:tplc="5F1A03C4">
      <w:start w:val="1"/>
      <w:numFmt w:val="bullet"/>
      <w:lvlText w:val=""/>
      <w:lvlJc w:val="left"/>
      <w:pPr>
        <w:ind w:left="2880" w:hanging="360"/>
      </w:pPr>
      <w:rPr>
        <w:rFonts w:ascii="Symbol" w:hAnsi="Symbol" w:hint="default"/>
      </w:rPr>
    </w:lvl>
    <w:lvl w:ilvl="4" w:tplc="DBDAB718">
      <w:start w:val="1"/>
      <w:numFmt w:val="bullet"/>
      <w:lvlText w:val="o"/>
      <w:lvlJc w:val="left"/>
      <w:pPr>
        <w:ind w:left="3600" w:hanging="360"/>
      </w:pPr>
      <w:rPr>
        <w:rFonts w:ascii="Courier New" w:hAnsi="Courier New" w:hint="default"/>
      </w:rPr>
    </w:lvl>
    <w:lvl w:ilvl="5" w:tplc="9F2E25CA">
      <w:start w:val="1"/>
      <w:numFmt w:val="bullet"/>
      <w:lvlText w:val=""/>
      <w:lvlJc w:val="left"/>
      <w:pPr>
        <w:ind w:left="4320" w:hanging="360"/>
      </w:pPr>
      <w:rPr>
        <w:rFonts w:ascii="Wingdings" w:hAnsi="Wingdings" w:hint="default"/>
      </w:rPr>
    </w:lvl>
    <w:lvl w:ilvl="6" w:tplc="144AB726">
      <w:start w:val="1"/>
      <w:numFmt w:val="bullet"/>
      <w:lvlText w:val=""/>
      <w:lvlJc w:val="left"/>
      <w:pPr>
        <w:ind w:left="5040" w:hanging="360"/>
      </w:pPr>
      <w:rPr>
        <w:rFonts w:ascii="Symbol" w:hAnsi="Symbol" w:hint="default"/>
      </w:rPr>
    </w:lvl>
    <w:lvl w:ilvl="7" w:tplc="C742B146">
      <w:start w:val="1"/>
      <w:numFmt w:val="bullet"/>
      <w:lvlText w:val="o"/>
      <w:lvlJc w:val="left"/>
      <w:pPr>
        <w:ind w:left="5760" w:hanging="360"/>
      </w:pPr>
      <w:rPr>
        <w:rFonts w:ascii="Courier New" w:hAnsi="Courier New" w:hint="default"/>
      </w:rPr>
    </w:lvl>
    <w:lvl w:ilvl="8" w:tplc="39387BF6">
      <w:start w:val="1"/>
      <w:numFmt w:val="bullet"/>
      <w:lvlText w:val=""/>
      <w:lvlJc w:val="left"/>
      <w:pPr>
        <w:ind w:left="6480" w:hanging="360"/>
      </w:pPr>
      <w:rPr>
        <w:rFonts w:ascii="Wingdings" w:hAnsi="Wingdings" w:hint="default"/>
      </w:rPr>
    </w:lvl>
  </w:abstractNum>
  <w:abstractNum w:abstractNumId="2" w15:restartNumberingAfterBreak="0">
    <w:nsid w:val="47290431"/>
    <w:multiLevelType w:val="hybridMultilevel"/>
    <w:tmpl w:val="B0BA7A2A"/>
    <w:lvl w:ilvl="0" w:tplc="3EA6E9BE">
      <w:start w:val="1"/>
      <w:numFmt w:val="bullet"/>
      <w:lvlText w:val=""/>
      <w:lvlJc w:val="left"/>
      <w:pPr>
        <w:ind w:left="720" w:hanging="360"/>
      </w:pPr>
      <w:rPr>
        <w:rFonts w:ascii="Symbol" w:hAnsi="Symbol" w:hint="default"/>
      </w:rPr>
    </w:lvl>
    <w:lvl w:ilvl="1" w:tplc="A31858F6">
      <w:start w:val="1"/>
      <w:numFmt w:val="bullet"/>
      <w:lvlText w:val="o"/>
      <w:lvlJc w:val="left"/>
      <w:pPr>
        <w:ind w:left="1440" w:hanging="360"/>
      </w:pPr>
      <w:rPr>
        <w:rFonts w:ascii="Courier New" w:hAnsi="Courier New" w:hint="default"/>
      </w:rPr>
    </w:lvl>
    <w:lvl w:ilvl="2" w:tplc="28CA2306">
      <w:start w:val="1"/>
      <w:numFmt w:val="bullet"/>
      <w:lvlText w:val=""/>
      <w:lvlJc w:val="left"/>
      <w:pPr>
        <w:ind w:left="2160" w:hanging="360"/>
      </w:pPr>
      <w:rPr>
        <w:rFonts w:ascii="Wingdings" w:hAnsi="Wingdings" w:hint="default"/>
      </w:rPr>
    </w:lvl>
    <w:lvl w:ilvl="3" w:tplc="EF80A1D8">
      <w:start w:val="1"/>
      <w:numFmt w:val="bullet"/>
      <w:lvlText w:val=""/>
      <w:lvlJc w:val="left"/>
      <w:pPr>
        <w:ind w:left="2880" w:hanging="360"/>
      </w:pPr>
      <w:rPr>
        <w:rFonts w:ascii="Symbol" w:hAnsi="Symbol" w:hint="default"/>
      </w:rPr>
    </w:lvl>
    <w:lvl w:ilvl="4" w:tplc="4F2807A8">
      <w:start w:val="1"/>
      <w:numFmt w:val="bullet"/>
      <w:lvlText w:val="o"/>
      <w:lvlJc w:val="left"/>
      <w:pPr>
        <w:ind w:left="3600" w:hanging="360"/>
      </w:pPr>
      <w:rPr>
        <w:rFonts w:ascii="Courier New" w:hAnsi="Courier New" w:hint="default"/>
      </w:rPr>
    </w:lvl>
    <w:lvl w:ilvl="5" w:tplc="0AA0E4CA">
      <w:start w:val="1"/>
      <w:numFmt w:val="bullet"/>
      <w:lvlText w:val=""/>
      <w:lvlJc w:val="left"/>
      <w:pPr>
        <w:ind w:left="4320" w:hanging="360"/>
      </w:pPr>
      <w:rPr>
        <w:rFonts w:ascii="Wingdings" w:hAnsi="Wingdings" w:hint="default"/>
      </w:rPr>
    </w:lvl>
    <w:lvl w:ilvl="6" w:tplc="D4FC723C">
      <w:start w:val="1"/>
      <w:numFmt w:val="bullet"/>
      <w:lvlText w:val=""/>
      <w:lvlJc w:val="left"/>
      <w:pPr>
        <w:ind w:left="5040" w:hanging="360"/>
      </w:pPr>
      <w:rPr>
        <w:rFonts w:ascii="Symbol" w:hAnsi="Symbol" w:hint="default"/>
      </w:rPr>
    </w:lvl>
    <w:lvl w:ilvl="7" w:tplc="F89CFEDE">
      <w:start w:val="1"/>
      <w:numFmt w:val="bullet"/>
      <w:lvlText w:val="o"/>
      <w:lvlJc w:val="left"/>
      <w:pPr>
        <w:ind w:left="5760" w:hanging="360"/>
      </w:pPr>
      <w:rPr>
        <w:rFonts w:ascii="Courier New" w:hAnsi="Courier New" w:hint="default"/>
      </w:rPr>
    </w:lvl>
    <w:lvl w:ilvl="8" w:tplc="2C7E3CF2">
      <w:start w:val="1"/>
      <w:numFmt w:val="bullet"/>
      <w:lvlText w:val=""/>
      <w:lvlJc w:val="left"/>
      <w:pPr>
        <w:ind w:left="6480" w:hanging="360"/>
      </w:pPr>
      <w:rPr>
        <w:rFonts w:ascii="Wingdings" w:hAnsi="Wingdings" w:hint="default"/>
      </w:rPr>
    </w:lvl>
  </w:abstractNum>
  <w:abstractNum w:abstractNumId="3" w15:restartNumberingAfterBreak="0">
    <w:nsid w:val="4A24132B"/>
    <w:multiLevelType w:val="hybridMultilevel"/>
    <w:tmpl w:val="230C0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AB8476"/>
    <w:multiLevelType w:val="hybridMultilevel"/>
    <w:tmpl w:val="2AD22AD0"/>
    <w:lvl w:ilvl="0" w:tplc="B7ACBE24">
      <w:start w:val="1"/>
      <w:numFmt w:val="bullet"/>
      <w:lvlText w:val=""/>
      <w:lvlJc w:val="left"/>
      <w:pPr>
        <w:ind w:left="720" w:hanging="360"/>
      </w:pPr>
      <w:rPr>
        <w:rFonts w:ascii="Symbol" w:hAnsi="Symbol" w:hint="default"/>
      </w:rPr>
    </w:lvl>
    <w:lvl w:ilvl="1" w:tplc="F79A87D8">
      <w:start w:val="1"/>
      <w:numFmt w:val="bullet"/>
      <w:lvlText w:val="o"/>
      <w:lvlJc w:val="left"/>
      <w:pPr>
        <w:ind w:left="1440" w:hanging="360"/>
      </w:pPr>
      <w:rPr>
        <w:rFonts w:ascii="Courier New" w:hAnsi="Courier New" w:hint="default"/>
      </w:rPr>
    </w:lvl>
    <w:lvl w:ilvl="2" w:tplc="DFA45766">
      <w:start w:val="1"/>
      <w:numFmt w:val="bullet"/>
      <w:lvlText w:val=""/>
      <w:lvlJc w:val="left"/>
      <w:pPr>
        <w:ind w:left="2160" w:hanging="360"/>
      </w:pPr>
      <w:rPr>
        <w:rFonts w:ascii="Wingdings" w:hAnsi="Wingdings" w:hint="default"/>
      </w:rPr>
    </w:lvl>
    <w:lvl w:ilvl="3" w:tplc="355EBB7E">
      <w:start w:val="1"/>
      <w:numFmt w:val="bullet"/>
      <w:lvlText w:val=""/>
      <w:lvlJc w:val="left"/>
      <w:pPr>
        <w:ind w:left="2880" w:hanging="360"/>
      </w:pPr>
      <w:rPr>
        <w:rFonts w:ascii="Symbol" w:hAnsi="Symbol" w:hint="default"/>
      </w:rPr>
    </w:lvl>
    <w:lvl w:ilvl="4" w:tplc="74A4423E">
      <w:start w:val="1"/>
      <w:numFmt w:val="bullet"/>
      <w:lvlText w:val="o"/>
      <w:lvlJc w:val="left"/>
      <w:pPr>
        <w:ind w:left="3600" w:hanging="360"/>
      </w:pPr>
      <w:rPr>
        <w:rFonts w:ascii="Courier New" w:hAnsi="Courier New" w:hint="default"/>
      </w:rPr>
    </w:lvl>
    <w:lvl w:ilvl="5" w:tplc="B2586178">
      <w:start w:val="1"/>
      <w:numFmt w:val="bullet"/>
      <w:lvlText w:val=""/>
      <w:lvlJc w:val="left"/>
      <w:pPr>
        <w:ind w:left="4320" w:hanging="360"/>
      </w:pPr>
      <w:rPr>
        <w:rFonts w:ascii="Wingdings" w:hAnsi="Wingdings" w:hint="default"/>
      </w:rPr>
    </w:lvl>
    <w:lvl w:ilvl="6" w:tplc="BA1C6560">
      <w:start w:val="1"/>
      <w:numFmt w:val="bullet"/>
      <w:lvlText w:val=""/>
      <w:lvlJc w:val="left"/>
      <w:pPr>
        <w:ind w:left="5040" w:hanging="360"/>
      </w:pPr>
      <w:rPr>
        <w:rFonts w:ascii="Symbol" w:hAnsi="Symbol" w:hint="default"/>
      </w:rPr>
    </w:lvl>
    <w:lvl w:ilvl="7" w:tplc="909C1EB6">
      <w:start w:val="1"/>
      <w:numFmt w:val="bullet"/>
      <w:lvlText w:val="o"/>
      <w:lvlJc w:val="left"/>
      <w:pPr>
        <w:ind w:left="5760" w:hanging="360"/>
      </w:pPr>
      <w:rPr>
        <w:rFonts w:ascii="Courier New" w:hAnsi="Courier New" w:hint="default"/>
      </w:rPr>
    </w:lvl>
    <w:lvl w:ilvl="8" w:tplc="6C4073A6">
      <w:start w:val="1"/>
      <w:numFmt w:val="bullet"/>
      <w:lvlText w:val=""/>
      <w:lvlJc w:val="left"/>
      <w:pPr>
        <w:ind w:left="6480" w:hanging="360"/>
      </w:pPr>
      <w:rPr>
        <w:rFonts w:ascii="Wingdings" w:hAnsi="Wingdings" w:hint="default"/>
      </w:rPr>
    </w:lvl>
  </w:abstractNum>
  <w:abstractNum w:abstractNumId="5" w15:restartNumberingAfterBreak="0">
    <w:nsid w:val="5539A8DA"/>
    <w:multiLevelType w:val="hybridMultilevel"/>
    <w:tmpl w:val="1EEED3C8"/>
    <w:lvl w:ilvl="0" w:tplc="35D2248A">
      <w:start w:val="1"/>
      <w:numFmt w:val="bullet"/>
      <w:lvlText w:val=""/>
      <w:lvlJc w:val="left"/>
      <w:pPr>
        <w:ind w:left="720" w:hanging="360"/>
      </w:pPr>
      <w:rPr>
        <w:rFonts w:ascii="Symbol" w:hAnsi="Symbol" w:hint="default"/>
      </w:rPr>
    </w:lvl>
    <w:lvl w:ilvl="1" w:tplc="11763658">
      <w:start w:val="1"/>
      <w:numFmt w:val="bullet"/>
      <w:lvlText w:val="o"/>
      <w:lvlJc w:val="left"/>
      <w:pPr>
        <w:ind w:left="1440" w:hanging="360"/>
      </w:pPr>
      <w:rPr>
        <w:rFonts w:ascii="Courier New" w:hAnsi="Courier New" w:hint="default"/>
      </w:rPr>
    </w:lvl>
    <w:lvl w:ilvl="2" w:tplc="550E647E">
      <w:start w:val="1"/>
      <w:numFmt w:val="bullet"/>
      <w:lvlText w:val=""/>
      <w:lvlJc w:val="left"/>
      <w:pPr>
        <w:ind w:left="2160" w:hanging="360"/>
      </w:pPr>
      <w:rPr>
        <w:rFonts w:ascii="Wingdings" w:hAnsi="Wingdings" w:hint="default"/>
      </w:rPr>
    </w:lvl>
    <w:lvl w:ilvl="3" w:tplc="BA0609AA">
      <w:start w:val="1"/>
      <w:numFmt w:val="bullet"/>
      <w:lvlText w:val=""/>
      <w:lvlJc w:val="left"/>
      <w:pPr>
        <w:ind w:left="2880" w:hanging="360"/>
      </w:pPr>
      <w:rPr>
        <w:rFonts w:ascii="Symbol" w:hAnsi="Symbol" w:hint="default"/>
      </w:rPr>
    </w:lvl>
    <w:lvl w:ilvl="4" w:tplc="158AAE4E">
      <w:start w:val="1"/>
      <w:numFmt w:val="bullet"/>
      <w:lvlText w:val="o"/>
      <w:lvlJc w:val="left"/>
      <w:pPr>
        <w:ind w:left="3600" w:hanging="360"/>
      </w:pPr>
      <w:rPr>
        <w:rFonts w:ascii="Courier New" w:hAnsi="Courier New" w:hint="default"/>
      </w:rPr>
    </w:lvl>
    <w:lvl w:ilvl="5" w:tplc="9738A8B8">
      <w:start w:val="1"/>
      <w:numFmt w:val="bullet"/>
      <w:lvlText w:val=""/>
      <w:lvlJc w:val="left"/>
      <w:pPr>
        <w:ind w:left="4320" w:hanging="360"/>
      </w:pPr>
      <w:rPr>
        <w:rFonts w:ascii="Wingdings" w:hAnsi="Wingdings" w:hint="default"/>
      </w:rPr>
    </w:lvl>
    <w:lvl w:ilvl="6" w:tplc="2E4EE3CE">
      <w:start w:val="1"/>
      <w:numFmt w:val="bullet"/>
      <w:lvlText w:val=""/>
      <w:lvlJc w:val="left"/>
      <w:pPr>
        <w:ind w:left="5040" w:hanging="360"/>
      </w:pPr>
      <w:rPr>
        <w:rFonts w:ascii="Symbol" w:hAnsi="Symbol" w:hint="default"/>
      </w:rPr>
    </w:lvl>
    <w:lvl w:ilvl="7" w:tplc="07B4F2FC">
      <w:start w:val="1"/>
      <w:numFmt w:val="bullet"/>
      <w:lvlText w:val="o"/>
      <w:lvlJc w:val="left"/>
      <w:pPr>
        <w:ind w:left="5760" w:hanging="360"/>
      </w:pPr>
      <w:rPr>
        <w:rFonts w:ascii="Courier New" w:hAnsi="Courier New" w:hint="default"/>
      </w:rPr>
    </w:lvl>
    <w:lvl w:ilvl="8" w:tplc="39EA227A">
      <w:start w:val="1"/>
      <w:numFmt w:val="bullet"/>
      <w:lvlText w:val=""/>
      <w:lvlJc w:val="left"/>
      <w:pPr>
        <w:ind w:left="6480" w:hanging="360"/>
      </w:pPr>
      <w:rPr>
        <w:rFonts w:ascii="Wingdings" w:hAnsi="Wingdings" w:hint="default"/>
      </w:rPr>
    </w:lvl>
  </w:abstractNum>
  <w:abstractNum w:abstractNumId="6" w15:restartNumberingAfterBreak="0">
    <w:nsid w:val="60716307"/>
    <w:multiLevelType w:val="hybridMultilevel"/>
    <w:tmpl w:val="D022539E"/>
    <w:lvl w:ilvl="0" w:tplc="4FB6767E">
      <w:start w:val="1"/>
      <w:numFmt w:val="bullet"/>
      <w:lvlText w:val=""/>
      <w:lvlJc w:val="left"/>
      <w:pPr>
        <w:ind w:left="720" w:hanging="360"/>
      </w:pPr>
      <w:rPr>
        <w:rFonts w:ascii="Symbol" w:hAnsi="Symbol" w:hint="default"/>
        <w:b w:val="0"/>
        <w:bCs w:val="0"/>
        <w:color w:val="auto"/>
      </w:rPr>
    </w:lvl>
    <w:lvl w:ilvl="1" w:tplc="9F167C1C">
      <w:start w:val="1"/>
      <w:numFmt w:val="bullet"/>
      <w:lvlText w:val="o"/>
      <w:lvlJc w:val="left"/>
      <w:pPr>
        <w:ind w:left="1440" w:hanging="360"/>
      </w:pPr>
      <w:rPr>
        <w:rFonts w:ascii="Courier New" w:hAnsi="Courier New" w:hint="default"/>
      </w:rPr>
    </w:lvl>
    <w:lvl w:ilvl="2" w:tplc="B36A74A4">
      <w:start w:val="1"/>
      <w:numFmt w:val="bullet"/>
      <w:lvlText w:val=""/>
      <w:lvlJc w:val="left"/>
      <w:pPr>
        <w:ind w:left="2160" w:hanging="360"/>
      </w:pPr>
      <w:rPr>
        <w:rFonts w:ascii="Wingdings" w:hAnsi="Wingdings" w:hint="default"/>
      </w:rPr>
    </w:lvl>
    <w:lvl w:ilvl="3" w:tplc="23D4EE76">
      <w:start w:val="1"/>
      <w:numFmt w:val="bullet"/>
      <w:lvlText w:val=""/>
      <w:lvlJc w:val="left"/>
      <w:pPr>
        <w:ind w:left="2880" w:hanging="360"/>
      </w:pPr>
      <w:rPr>
        <w:rFonts w:ascii="Symbol" w:hAnsi="Symbol" w:hint="default"/>
      </w:rPr>
    </w:lvl>
    <w:lvl w:ilvl="4" w:tplc="D826B310">
      <w:start w:val="1"/>
      <w:numFmt w:val="bullet"/>
      <w:lvlText w:val="o"/>
      <w:lvlJc w:val="left"/>
      <w:pPr>
        <w:ind w:left="3600" w:hanging="360"/>
      </w:pPr>
      <w:rPr>
        <w:rFonts w:ascii="Courier New" w:hAnsi="Courier New" w:hint="default"/>
      </w:rPr>
    </w:lvl>
    <w:lvl w:ilvl="5" w:tplc="F8CA14EA">
      <w:start w:val="1"/>
      <w:numFmt w:val="bullet"/>
      <w:lvlText w:val=""/>
      <w:lvlJc w:val="left"/>
      <w:pPr>
        <w:ind w:left="4320" w:hanging="360"/>
      </w:pPr>
      <w:rPr>
        <w:rFonts w:ascii="Wingdings" w:hAnsi="Wingdings" w:hint="default"/>
      </w:rPr>
    </w:lvl>
    <w:lvl w:ilvl="6" w:tplc="B61E55EA">
      <w:start w:val="1"/>
      <w:numFmt w:val="bullet"/>
      <w:lvlText w:val=""/>
      <w:lvlJc w:val="left"/>
      <w:pPr>
        <w:ind w:left="5040" w:hanging="360"/>
      </w:pPr>
      <w:rPr>
        <w:rFonts w:ascii="Symbol" w:hAnsi="Symbol" w:hint="default"/>
      </w:rPr>
    </w:lvl>
    <w:lvl w:ilvl="7" w:tplc="5358EDDC">
      <w:start w:val="1"/>
      <w:numFmt w:val="bullet"/>
      <w:lvlText w:val="o"/>
      <w:lvlJc w:val="left"/>
      <w:pPr>
        <w:ind w:left="5760" w:hanging="360"/>
      </w:pPr>
      <w:rPr>
        <w:rFonts w:ascii="Courier New" w:hAnsi="Courier New" w:hint="default"/>
      </w:rPr>
    </w:lvl>
    <w:lvl w:ilvl="8" w:tplc="95D6D116">
      <w:start w:val="1"/>
      <w:numFmt w:val="bullet"/>
      <w:lvlText w:val=""/>
      <w:lvlJc w:val="left"/>
      <w:pPr>
        <w:ind w:left="6480" w:hanging="360"/>
      </w:pPr>
      <w:rPr>
        <w:rFonts w:ascii="Wingdings" w:hAnsi="Wingdings" w:hint="default"/>
      </w:rPr>
    </w:lvl>
  </w:abstractNum>
  <w:abstractNum w:abstractNumId="7" w15:restartNumberingAfterBreak="0">
    <w:nsid w:val="6B40DCD5"/>
    <w:multiLevelType w:val="hybridMultilevel"/>
    <w:tmpl w:val="B74EA768"/>
    <w:lvl w:ilvl="0" w:tplc="E528D82C">
      <w:start w:val="1"/>
      <w:numFmt w:val="bullet"/>
      <w:lvlText w:val=""/>
      <w:lvlJc w:val="left"/>
      <w:pPr>
        <w:ind w:left="960" w:hanging="360"/>
      </w:pPr>
      <w:rPr>
        <w:rFonts w:ascii="Symbol" w:hAnsi="Symbol" w:hint="default"/>
      </w:rPr>
    </w:lvl>
    <w:lvl w:ilvl="1" w:tplc="9B6AB470">
      <w:start w:val="1"/>
      <w:numFmt w:val="bullet"/>
      <w:lvlText w:val="o"/>
      <w:lvlJc w:val="left"/>
      <w:pPr>
        <w:ind w:left="1680" w:hanging="360"/>
      </w:pPr>
      <w:rPr>
        <w:rFonts w:ascii="Courier New" w:hAnsi="Courier New" w:hint="default"/>
      </w:rPr>
    </w:lvl>
    <w:lvl w:ilvl="2" w:tplc="DAC4122C">
      <w:start w:val="1"/>
      <w:numFmt w:val="bullet"/>
      <w:lvlText w:val=""/>
      <w:lvlJc w:val="left"/>
      <w:pPr>
        <w:ind w:left="2400" w:hanging="360"/>
      </w:pPr>
      <w:rPr>
        <w:rFonts w:ascii="Wingdings" w:hAnsi="Wingdings" w:hint="default"/>
      </w:rPr>
    </w:lvl>
    <w:lvl w:ilvl="3" w:tplc="A078A012">
      <w:start w:val="1"/>
      <w:numFmt w:val="bullet"/>
      <w:lvlText w:val=""/>
      <w:lvlJc w:val="left"/>
      <w:pPr>
        <w:ind w:left="3120" w:hanging="360"/>
      </w:pPr>
      <w:rPr>
        <w:rFonts w:ascii="Symbol" w:hAnsi="Symbol" w:hint="default"/>
      </w:rPr>
    </w:lvl>
    <w:lvl w:ilvl="4" w:tplc="68C6DB24">
      <w:start w:val="1"/>
      <w:numFmt w:val="bullet"/>
      <w:lvlText w:val="o"/>
      <w:lvlJc w:val="left"/>
      <w:pPr>
        <w:ind w:left="3840" w:hanging="360"/>
      </w:pPr>
      <w:rPr>
        <w:rFonts w:ascii="Courier New" w:hAnsi="Courier New" w:hint="default"/>
      </w:rPr>
    </w:lvl>
    <w:lvl w:ilvl="5" w:tplc="A7A87284">
      <w:start w:val="1"/>
      <w:numFmt w:val="bullet"/>
      <w:lvlText w:val=""/>
      <w:lvlJc w:val="left"/>
      <w:pPr>
        <w:ind w:left="4560" w:hanging="360"/>
      </w:pPr>
      <w:rPr>
        <w:rFonts w:ascii="Wingdings" w:hAnsi="Wingdings" w:hint="default"/>
      </w:rPr>
    </w:lvl>
    <w:lvl w:ilvl="6" w:tplc="D3005B28">
      <w:start w:val="1"/>
      <w:numFmt w:val="bullet"/>
      <w:lvlText w:val=""/>
      <w:lvlJc w:val="left"/>
      <w:pPr>
        <w:ind w:left="5280" w:hanging="360"/>
      </w:pPr>
      <w:rPr>
        <w:rFonts w:ascii="Symbol" w:hAnsi="Symbol" w:hint="default"/>
      </w:rPr>
    </w:lvl>
    <w:lvl w:ilvl="7" w:tplc="9084BD32">
      <w:start w:val="1"/>
      <w:numFmt w:val="bullet"/>
      <w:lvlText w:val="o"/>
      <w:lvlJc w:val="left"/>
      <w:pPr>
        <w:ind w:left="6000" w:hanging="360"/>
      </w:pPr>
      <w:rPr>
        <w:rFonts w:ascii="Courier New" w:hAnsi="Courier New" w:hint="default"/>
      </w:rPr>
    </w:lvl>
    <w:lvl w:ilvl="8" w:tplc="E10AB6F0">
      <w:start w:val="1"/>
      <w:numFmt w:val="bullet"/>
      <w:lvlText w:val=""/>
      <w:lvlJc w:val="left"/>
      <w:pPr>
        <w:ind w:left="6720" w:hanging="360"/>
      </w:pPr>
      <w:rPr>
        <w:rFonts w:ascii="Wingdings" w:hAnsi="Wingdings" w:hint="default"/>
      </w:rPr>
    </w:lvl>
  </w:abstractNum>
  <w:num w:numId="1" w16cid:durableId="177038621">
    <w:abstractNumId w:val="5"/>
  </w:num>
  <w:num w:numId="2" w16cid:durableId="1790509624">
    <w:abstractNumId w:val="6"/>
  </w:num>
  <w:num w:numId="3" w16cid:durableId="986126338">
    <w:abstractNumId w:val="1"/>
  </w:num>
  <w:num w:numId="4" w16cid:durableId="982388473">
    <w:abstractNumId w:val="2"/>
  </w:num>
  <w:num w:numId="5" w16cid:durableId="1626887876">
    <w:abstractNumId w:val="4"/>
  </w:num>
  <w:num w:numId="6" w16cid:durableId="1601720688">
    <w:abstractNumId w:val="7"/>
  </w:num>
  <w:num w:numId="7" w16cid:durableId="2130274612">
    <w:abstractNumId w:val="3"/>
  </w:num>
  <w:num w:numId="8" w16cid:durableId="1324166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6123718"/>
    <w:rsid w:val="00005283"/>
    <w:rsid w:val="000E55EF"/>
    <w:rsid w:val="0011022B"/>
    <w:rsid w:val="001150DA"/>
    <w:rsid w:val="00137E77"/>
    <w:rsid w:val="001449C5"/>
    <w:rsid w:val="00170934"/>
    <w:rsid w:val="00194A9C"/>
    <w:rsid w:val="001A4AB4"/>
    <w:rsid w:val="001A4C85"/>
    <w:rsid w:val="001C2ED7"/>
    <w:rsid w:val="00274BAF"/>
    <w:rsid w:val="002B655B"/>
    <w:rsid w:val="00404B02"/>
    <w:rsid w:val="0041534D"/>
    <w:rsid w:val="00464D4D"/>
    <w:rsid w:val="00482761"/>
    <w:rsid w:val="004C02BD"/>
    <w:rsid w:val="00521CAD"/>
    <w:rsid w:val="00531717"/>
    <w:rsid w:val="00537239"/>
    <w:rsid w:val="00566502"/>
    <w:rsid w:val="00596F70"/>
    <w:rsid w:val="0059FD26"/>
    <w:rsid w:val="005B41A3"/>
    <w:rsid w:val="005C28BC"/>
    <w:rsid w:val="00607391"/>
    <w:rsid w:val="006D7BF9"/>
    <w:rsid w:val="00701C67"/>
    <w:rsid w:val="0071404D"/>
    <w:rsid w:val="00733A7D"/>
    <w:rsid w:val="007371D7"/>
    <w:rsid w:val="007616C8"/>
    <w:rsid w:val="0076719E"/>
    <w:rsid w:val="00791CF9"/>
    <w:rsid w:val="00806584"/>
    <w:rsid w:val="00823871"/>
    <w:rsid w:val="00870C15"/>
    <w:rsid w:val="008D1F45"/>
    <w:rsid w:val="008D305F"/>
    <w:rsid w:val="00944816"/>
    <w:rsid w:val="009558CD"/>
    <w:rsid w:val="009B268A"/>
    <w:rsid w:val="009C5B70"/>
    <w:rsid w:val="009D1469"/>
    <w:rsid w:val="009F001D"/>
    <w:rsid w:val="00A2630D"/>
    <w:rsid w:val="00A367CA"/>
    <w:rsid w:val="00AC74F8"/>
    <w:rsid w:val="00AE0BBC"/>
    <w:rsid w:val="00AF00D6"/>
    <w:rsid w:val="00B152B5"/>
    <w:rsid w:val="00B3291D"/>
    <w:rsid w:val="00BC4F6D"/>
    <w:rsid w:val="00BF6BC0"/>
    <w:rsid w:val="00CE01FA"/>
    <w:rsid w:val="00D3274C"/>
    <w:rsid w:val="00D35465"/>
    <w:rsid w:val="00D921B9"/>
    <w:rsid w:val="00D922B1"/>
    <w:rsid w:val="00DC3654"/>
    <w:rsid w:val="00DE7714"/>
    <w:rsid w:val="00E00CEE"/>
    <w:rsid w:val="00E26E68"/>
    <w:rsid w:val="00EC00FB"/>
    <w:rsid w:val="00F214FA"/>
    <w:rsid w:val="00F21887"/>
    <w:rsid w:val="00F23D72"/>
    <w:rsid w:val="00F32860"/>
    <w:rsid w:val="00F965F1"/>
    <w:rsid w:val="00FB70A6"/>
    <w:rsid w:val="00FE6F1D"/>
    <w:rsid w:val="014AEEEE"/>
    <w:rsid w:val="02AB98B3"/>
    <w:rsid w:val="06B01CFE"/>
    <w:rsid w:val="072E379E"/>
    <w:rsid w:val="0C34117E"/>
    <w:rsid w:val="0EF19EC1"/>
    <w:rsid w:val="0F2EADC8"/>
    <w:rsid w:val="0F7FACF1"/>
    <w:rsid w:val="0FB03F7B"/>
    <w:rsid w:val="12492596"/>
    <w:rsid w:val="12E605F2"/>
    <w:rsid w:val="14E673E8"/>
    <w:rsid w:val="16C53F8B"/>
    <w:rsid w:val="18053952"/>
    <w:rsid w:val="1887ABD9"/>
    <w:rsid w:val="18B9977A"/>
    <w:rsid w:val="1BA26AD9"/>
    <w:rsid w:val="1C077FB2"/>
    <w:rsid w:val="1DA2F696"/>
    <w:rsid w:val="1DC28BC3"/>
    <w:rsid w:val="1DE47348"/>
    <w:rsid w:val="20C7F3BA"/>
    <w:rsid w:val="23FC0309"/>
    <w:rsid w:val="2471290F"/>
    <w:rsid w:val="247DDDF8"/>
    <w:rsid w:val="255D3297"/>
    <w:rsid w:val="26B644F4"/>
    <w:rsid w:val="26CFF63F"/>
    <w:rsid w:val="26F9E888"/>
    <w:rsid w:val="281F2E5B"/>
    <w:rsid w:val="28D41827"/>
    <w:rsid w:val="2AD50B79"/>
    <w:rsid w:val="2D3C190F"/>
    <w:rsid w:val="2FBC4FB8"/>
    <w:rsid w:val="31183A7D"/>
    <w:rsid w:val="336A711E"/>
    <w:rsid w:val="33EC5DBB"/>
    <w:rsid w:val="348D5E52"/>
    <w:rsid w:val="363EB522"/>
    <w:rsid w:val="38E1045C"/>
    <w:rsid w:val="392EEB09"/>
    <w:rsid w:val="3AC5FA28"/>
    <w:rsid w:val="3B36DDBF"/>
    <w:rsid w:val="3D346B5F"/>
    <w:rsid w:val="3E488AE2"/>
    <w:rsid w:val="3F5EAD30"/>
    <w:rsid w:val="4294D236"/>
    <w:rsid w:val="42DB13AF"/>
    <w:rsid w:val="44B77920"/>
    <w:rsid w:val="44D6DDED"/>
    <w:rsid w:val="46B6D9AB"/>
    <w:rsid w:val="470BE7E7"/>
    <w:rsid w:val="4CA6B39E"/>
    <w:rsid w:val="4FD1E27A"/>
    <w:rsid w:val="524AA3CE"/>
    <w:rsid w:val="52F9E7E9"/>
    <w:rsid w:val="542B9B9F"/>
    <w:rsid w:val="54F6D242"/>
    <w:rsid w:val="551DBBB0"/>
    <w:rsid w:val="56AE67DE"/>
    <w:rsid w:val="57376BB0"/>
    <w:rsid w:val="58A21A6D"/>
    <w:rsid w:val="5994DBA3"/>
    <w:rsid w:val="59C0AD5D"/>
    <w:rsid w:val="5B21FC67"/>
    <w:rsid w:val="5DD23694"/>
    <w:rsid w:val="5E14D23A"/>
    <w:rsid w:val="5EBF2631"/>
    <w:rsid w:val="5F04ED71"/>
    <w:rsid w:val="6246A8CF"/>
    <w:rsid w:val="62C4606D"/>
    <w:rsid w:val="63B64998"/>
    <w:rsid w:val="64B15422"/>
    <w:rsid w:val="65A56158"/>
    <w:rsid w:val="65B3D416"/>
    <w:rsid w:val="65E3C40C"/>
    <w:rsid w:val="66123718"/>
    <w:rsid w:val="694B4EDE"/>
    <w:rsid w:val="6955C190"/>
    <w:rsid w:val="6BEB446E"/>
    <w:rsid w:val="6D28D035"/>
    <w:rsid w:val="6E8AB03C"/>
    <w:rsid w:val="6F468A02"/>
    <w:rsid w:val="70B53945"/>
    <w:rsid w:val="70E9B42C"/>
    <w:rsid w:val="719671DE"/>
    <w:rsid w:val="758B0D32"/>
    <w:rsid w:val="75A16C62"/>
    <w:rsid w:val="76B9C465"/>
    <w:rsid w:val="76EDCCDB"/>
    <w:rsid w:val="7A3429AB"/>
    <w:rsid w:val="7AEE37EA"/>
    <w:rsid w:val="7BE4462B"/>
    <w:rsid w:val="7CBF3C0D"/>
    <w:rsid w:val="7D7B76B0"/>
    <w:rsid w:val="7D90625E"/>
    <w:rsid w:val="7F26E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23718"/>
  <w15:chartTrackingRefBased/>
  <w15:docId w15:val="{36D627D7-FFBF-4577-81B1-327FB95A0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uiPriority w:val="9"/>
    <w:unhideWhenUsed/>
    <w:qFormat/>
    <w:rsid w:val="551DBB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unhideWhenUsed/>
    <w:qFormat/>
    <w:rsid w:val="551DBB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uiPriority w:val="9"/>
    <w:unhideWhenUsed/>
    <w:qFormat/>
    <w:rsid w:val="551DBBB0"/>
    <w:pPr>
      <w:keepNext/>
      <w:keepLines/>
      <w:spacing w:before="80" w:after="40"/>
      <w:outlineLvl w:val="3"/>
    </w:pPr>
    <w:rPr>
      <w:rFonts w:eastAsiaTheme="majorEastAsia"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unhideWhenUsed/>
    <w:rsid w:val="551DBBB0"/>
    <w:pPr>
      <w:tabs>
        <w:tab w:val="center" w:pos="4680"/>
        <w:tab w:val="right" w:pos="9360"/>
      </w:tabs>
      <w:spacing w:after="0" w:line="240" w:lineRule="auto"/>
    </w:pPr>
  </w:style>
  <w:style w:type="paragraph" w:styleId="Footer">
    <w:name w:val="footer"/>
    <w:basedOn w:val="Normal"/>
    <w:uiPriority w:val="99"/>
    <w:unhideWhenUsed/>
    <w:rsid w:val="551DBBB0"/>
    <w:pPr>
      <w:tabs>
        <w:tab w:val="center" w:pos="4680"/>
        <w:tab w:val="right" w:pos="9360"/>
      </w:tabs>
      <w:spacing w:after="0" w:line="240" w:lineRule="auto"/>
    </w:pPr>
  </w:style>
  <w:style w:type="paragraph" w:styleId="ListParagraph">
    <w:name w:val="List Paragraph"/>
    <w:basedOn w:val="Normal"/>
    <w:uiPriority w:val="34"/>
    <w:qFormat/>
    <w:rsid w:val="551DBBB0"/>
    <w:pPr>
      <w:ind w:left="720"/>
      <w:contextualSpacing/>
    </w:pPr>
  </w:style>
  <w:style w:type="character" w:styleId="Hyperlink">
    <w:name w:val="Hyperlink"/>
    <w:basedOn w:val="DefaultParagraphFont"/>
    <w:uiPriority w:val="99"/>
    <w:unhideWhenUsed/>
    <w:rsid w:val="551DBBB0"/>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775</Words>
  <Characters>4421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Godden, Susan</dc:creator>
  <cp:keywords/>
  <dc:description/>
  <cp:lastModifiedBy>Gilroy, Elaine</cp:lastModifiedBy>
  <cp:revision>2</cp:revision>
  <dcterms:created xsi:type="dcterms:W3CDTF">2026-08-14T07:49:00Z</dcterms:created>
  <dcterms:modified xsi:type="dcterms:W3CDTF">2026-08-14T07:49:00Z</dcterms:modified>
</cp:coreProperties>
</file>